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DF53F" w14:textId="45258A2B" w:rsidR="00582C3A" w:rsidRPr="00136BBC" w:rsidRDefault="00582C3A" w:rsidP="007F0555">
      <w:pPr>
        <w:keepLines/>
        <w:widowControl w:val="0"/>
        <w:tabs>
          <w:tab w:val="left" w:pos="3780"/>
        </w:tabs>
        <w:jc w:val="center"/>
        <w:rPr>
          <w:b/>
          <w:bCs/>
          <w:sz w:val="32"/>
          <w:szCs w:val="28"/>
          <w:lang w:val="ro-RO"/>
        </w:rPr>
      </w:pPr>
      <w:r w:rsidRPr="00136BBC">
        <w:rPr>
          <w:b/>
          <w:bCs/>
          <w:sz w:val="32"/>
          <w:szCs w:val="28"/>
          <w:lang w:val="ro-RO"/>
        </w:rPr>
        <w:t>PROGRAMUL ERASMUS+</w:t>
      </w:r>
    </w:p>
    <w:p w14:paraId="7E667CBA" w14:textId="3247AC59" w:rsidR="00566B97" w:rsidRPr="00136BBC" w:rsidRDefault="00566B97" w:rsidP="001F76D5">
      <w:pPr>
        <w:keepLines/>
        <w:widowControl w:val="0"/>
        <w:spacing w:before="120" w:after="120"/>
        <w:jc w:val="center"/>
        <w:rPr>
          <w:b/>
          <w:bCs/>
          <w:sz w:val="32"/>
          <w:szCs w:val="32"/>
          <w:lang w:val="ro-RO"/>
        </w:rPr>
      </w:pPr>
      <w:r w:rsidRPr="00136BBC">
        <w:rPr>
          <w:b/>
          <w:bCs/>
          <w:sz w:val="32"/>
          <w:szCs w:val="32"/>
          <w:lang w:val="ro-RO"/>
        </w:rPr>
        <w:t>Mobilități de studiu (SMS) şi de practică (SMT) de scurtă durată</w:t>
      </w:r>
      <w:r w:rsidR="001F76D5">
        <w:rPr>
          <w:b/>
          <w:bCs/>
          <w:sz w:val="32"/>
          <w:szCs w:val="32"/>
          <w:lang w:val="ro-RO"/>
        </w:rPr>
        <w:t xml:space="preserve"> </w:t>
      </w:r>
      <w:r w:rsidR="001F76D5" w:rsidRPr="00F25850">
        <w:rPr>
          <w:b/>
          <w:bCs/>
          <w:noProof/>
          <w:sz w:val="32"/>
          <w:lang w:val="ro-RO"/>
        </w:rPr>
        <w:t>în ţări terţe care nu sunt asociate la Programul Erasmus+</w:t>
      </w:r>
    </w:p>
    <w:p w14:paraId="73B9B859" w14:textId="77777777" w:rsidR="00A50119" w:rsidRPr="00136BBC" w:rsidRDefault="008F2CEC" w:rsidP="00806ED1">
      <w:pPr>
        <w:keepLines/>
        <w:widowControl w:val="0"/>
        <w:jc w:val="center"/>
        <w:rPr>
          <w:bCs/>
          <w:sz w:val="32"/>
          <w:szCs w:val="28"/>
          <w:u w:val="single"/>
          <w:lang w:val="ro-RO"/>
        </w:rPr>
      </w:pPr>
      <w:r w:rsidRPr="00136BBC">
        <w:rPr>
          <w:sz w:val="32"/>
          <w:szCs w:val="28"/>
          <w:u w:val="single"/>
          <w:lang w:val="ro-RO"/>
        </w:rPr>
        <w:t>Apel deschis la candidaturi pentru</w:t>
      </w:r>
      <w:r w:rsidRPr="00136BBC">
        <w:rPr>
          <w:bCs/>
          <w:sz w:val="32"/>
          <w:szCs w:val="28"/>
          <w:u w:val="single"/>
          <w:lang w:val="ro-RO"/>
        </w:rPr>
        <w:t xml:space="preserve"> m</w:t>
      </w:r>
      <w:r w:rsidR="003D22FF" w:rsidRPr="00136BBC">
        <w:rPr>
          <w:bCs/>
          <w:sz w:val="32"/>
          <w:szCs w:val="28"/>
          <w:u w:val="single"/>
          <w:lang w:val="ro-RO"/>
        </w:rPr>
        <w:t xml:space="preserve">obilități </w:t>
      </w:r>
      <w:r w:rsidRPr="00136BBC">
        <w:rPr>
          <w:bCs/>
          <w:sz w:val="32"/>
          <w:szCs w:val="28"/>
          <w:u w:val="single"/>
          <w:lang w:val="ro-RO"/>
        </w:rPr>
        <w:t xml:space="preserve">studențești </w:t>
      </w:r>
      <w:r w:rsidR="003D22FF" w:rsidRPr="00136BBC">
        <w:rPr>
          <w:bCs/>
          <w:sz w:val="32"/>
          <w:szCs w:val="28"/>
          <w:u w:val="single"/>
          <w:lang w:val="ro-RO"/>
        </w:rPr>
        <w:t xml:space="preserve">de </w:t>
      </w:r>
      <w:r w:rsidR="00A50119" w:rsidRPr="00136BBC">
        <w:rPr>
          <w:bCs/>
          <w:sz w:val="32"/>
          <w:szCs w:val="28"/>
          <w:u w:val="single"/>
          <w:lang w:val="ro-RO"/>
        </w:rPr>
        <w:t xml:space="preserve">scurtă durată </w:t>
      </w:r>
    </w:p>
    <w:p w14:paraId="5066E154" w14:textId="6B84A370" w:rsidR="00B95AE2" w:rsidRDefault="00B95AE2" w:rsidP="00B95AE2">
      <w:pPr>
        <w:keepLines/>
        <w:widowControl w:val="0"/>
        <w:jc w:val="both"/>
        <w:rPr>
          <w:b/>
          <w:lang w:val="ro-RO"/>
        </w:rPr>
      </w:pPr>
    </w:p>
    <w:p w14:paraId="4D4B79E6" w14:textId="77777777" w:rsidR="00CF6C51" w:rsidRPr="00136BBC" w:rsidRDefault="00CF6C51" w:rsidP="000B2343">
      <w:pPr>
        <w:keepLines/>
        <w:widowControl w:val="0"/>
        <w:rPr>
          <w:b/>
          <w:bCs/>
          <w:szCs w:val="28"/>
          <w:lang w:val="ro-RO"/>
        </w:rPr>
      </w:pPr>
    </w:p>
    <w:p w14:paraId="1F08E4F8" w14:textId="77777777" w:rsidR="004E72BA" w:rsidRPr="00136BBC" w:rsidRDefault="004E72BA" w:rsidP="00806ED1">
      <w:pPr>
        <w:keepLines/>
        <w:widowControl w:val="0"/>
        <w:jc w:val="both"/>
        <w:rPr>
          <w:lang w:val="ro-RO"/>
        </w:rPr>
      </w:pPr>
      <w:r w:rsidRPr="00B95AE2">
        <w:rPr>
          <w:b/>
          <w:bCs/>
          <w:highlight w:val="cyan"/>
          <w:lang w:val="ro-RO"/>
        </w:rPr>
        <w:t>Mobilitate de studiu (SMS)</w:t>
      </w:r>
      <w:r w:rsidRPr="007D022F">
        <w:rPr>
          <w:b/>
          <w:bCs/>
          <w:lang w:val="ro-RO"/>
        </w:rPr>
        <w:t xml:space="preserve"> </w:t>
      </w:r>
      <w:r w:rsidRPr="001E7A05">
        <w:rPr>
          <w:b/>
          <w:bCs/>
          <w:lang w:val="ro-RO"/>
        </w:rPr>
        <w:t>de scurtă durată</w:t>
      </w:r>
      <w:r w:rsidRPr="00136BBC">
        <w:rPr>
          <w:b/>
          <w:bCs/>
          <w:lang w:val="ro-RO"/>
        </w:rPr>
        <w:t xml:space="preserve"> </w:t>
      </w:r>
      <w:r w:rsidRPr="00136BBC">
        <w:rPr>
          <w:lang w:val="ro-RO"/>
        </w:rPr>
        <w:t>- perioadă de studiu efectuată de studenți la o instituție de învățământ superior din străinătate.</w:t>
      </w:r>
    </w:p>
    <w:p w14:paraId="3344BC96" w14:textId="77777777" w:rsidR="009E1EE0" w:rsidRPr="00136BBC" w:rsidRDefault="009E1EE0" w:rsidP="00806ED1">
      <w:pPr>
        <w:keepLines/>
        <w:widowControl w:val="0"/>
        <w:jc w:val="both"/>
        <w:rPr>
          <w:lang w:val="ro-RO"/>
        </w:rPr>
      </w:pPr>
    </w:p>
    <w:p w14:paraId="31D9C01A" w14:textId="654ED04A" w:rsidR="004E72BA" w:rsidRPr="00136BBC" w:rsidRDefault="009E1EE0" w:rsidP="001E7A05">
      <w:pPr>
        <w:keepLines/>
        <w:widowControl w:val="0"/>
        <w:spacing w:after="120"/>
        <w:jc w:val="both"/>
        <w:rPr>
          <w:lang w:val="ro-RO"/>
        </w:rPr>
      </w:pPr>
      <w:r w:rsidRPr="00136BBC">
        <w:rPr>
          <w:lang w:val="ro-RO"/>
        </w:rPr>
        <w:t xml:space="preserve">Pentru mobilităţile de studiu </w:t>
      </w:r>
      <w:r w:rsidR="001E7A05">
        <w:rPr>
          <w:lang w:val="ro-RO"/>
        </w:rPr>
        <w:t xml:space="preserve">sunt eligibile </w:t>
      </w:r>
      <w:r w:rsidRPr="00136BBC">
        <w:rPr>
          <w:lang w:val="ro-RO"/>
        </w:rPr>
        <w:t>instituţii</w:t>
      </w:r>
      <w:r w:rsidR="001E7A05">
        <w:rPr>
          <w:lang w:val="ro-RO"/>
        </w:rPr>
        <w:t>le</w:t>
      </w:r>
      <w:r w:rsidRPr="00136BBC">
        <w:rPr>
          <w:lang w:val="ro-RO"/>
        </w:rPr>
        <w:t xml:space="preserve"> de învăţământ superior din ţări terțe care nu sunt asociate Programului Erasmus+, cu care UAIC a semnat un acord bilateral interinstituţional Erasmus</w:t>
      </w:r>
      <w:r w:rsidR="001E7A05">
        <w:rPr>
          <w:lang w:val="ro-RO"/>
        </w:rPr>
        <w:t xml:space="preserve"> înaintea începerii mobilităţii.</w:t>
      </w:r>
    </w:p>
    <w:p w14:paraId="09AB6849" w14:textId="7900289A" w:rsidR="004E72BA" w:rsidRPr="00136BBC" w:rsidRDefault="004E72BA" w:rsidP="00806ED1">
      <w:pPr>
        <w:keepLines/>
        <w:widowControl w:val="0"/>
        <w:jc w:val="both"/>
        <w:rPr>
          <w:lang w:val="ro-RO"/>
        </w:rPr>
      </w:pPr>
      <w:r w:rsidRPr="00136BBC">
        <w:rPr>
          <w:spacing w:val="-3"/>
          <w:lang w:val="ro-RO"/>
        </w:rPr>
        <w:t>La selecția pentru mobilită</w:t>
      </w:r>
      <w:r w:rsidR="002E75A5" w:rsidRPr="00136BBC">
        <w:rPr>
          <w:spacing w:val="-3"/>
          <w:lang w:val="ro-RO"/>
        </w:rPr>
        <w:t>țile de studiu de scurtă durată</w:t>
      </w:r>
      <w:r w:rsidRPr="00136BBC">
        <w:rPr>
          <w:spacing w:val="-3"/>
          <w:lang w:val="ro-RO"/>
        </w:rPr>
        <w:t xml:space="preserve"> pot participa studenții UAIC al căror domeniu de studiu este inclus în acordurile bilaterale încheiate de UAIC cu universități </w:t>
      </w:r>
      <w:r w:rsidR="002E75A5" w:rsidRPr="00136BBC">
        <w:rPr>
          <w:spacing w:val="-3"/>
          <w:lang w:val="ro-RO"/>
        </w:rPr>
        <w:t>partenere</w:t>
      </w:r>
      <w:r w:rsidRPr="00136BBC">
        <w:rPr>
          <w:lang w:val="ro-RO"/>
        </w:rPr>
        <w:t>.</w:t>
      </w:r>
    </w:p>
    <w:p w14:paraId="0FCC6CE6" w14:textId="77777777" w:rsidR="004E72BA" w:rsidRPr="00136BBC" w:rsidRDefault="004E72BA" w:rsidP="00806ED1">
      <w:pPr>
        <w:pStyle w:val="Default"/>
        <w:keepLines/>
        <w:widowControl w:val="0"/>
        <w:jc w:val="both"/>
        <w:rPr>
          <w:rFonts w:eastAsia="Times New Roman"/>
          <w:color w:val="auto"/>
          <w:spacing w:val="-3"/>
          <w:lang w:val="ro-RO"/>
        </w:rPr>
      </w:pPr>
    </w:p>
    <w:p w14:paraId="307A65C2" w14:textId="2DBD75EA" w:rsidR="004E72BA" w:rsidRPr="00136BBC" w:rsidRDefault="004E72BA" w:rsidP="00806ED1">
      <w:pPr>
        <w:pStyle w:val="Default"/>
        <w:keepLines/>
        <w:widowControl w:val="0"/>
        <w:rPr>
          <w:rFonts w:eastAsia="Times New Roman"/>
          <w:color w:val="auto"/>
          <w:spacing w:val="-3"/>
          <w:lang w:val="ro-RO"/>
        </w:rPr>
      </w:pPr>
      <w:r w:rsidRPr="00136BBC">
        <w:rPr>
          <w:rFonts w:eastAsia="Times New Roman"/>
          <w:color w:val="auto"/>
          <w:spacing w:val="-3"/>
          <w:lang w:val="ro-RO"/>
        </w:rPr>
        <w:t>Lista cu universitățile partenere este disponibil</w:t>
      </w:r>
      <w:r w:rsidRPr="00845EDD">
        <w:rPr>
          <w:rFonts w:eastAsia="Times New Roman"/>
          <w:color w:val="auto"/>
          <w:spacing w:val="-3"/>
          <w:lang w:val="ro-RO"/>
        </w:rPr>
        <w:t xml:space="preserve">ă </w:t>
      </w:r>
      <w:r w:rsidR="007545D0" w:rsidRPr="00845EDD">
        <w:rPr>
          <w:rFonts w:eastAsia="Times New Roman"/>
          <w:color w:val="auto"/>
          <w:spacing w:val="-3"/>
          <w:lang w:val="ro-RO"/>
        </w:rPr>
        <w:t>pe pagina web</w:t>
      </w:r>
      <w:r w:rsidR="002E75A5" w:rsidRPr="00845EDD">
        <w:rPr>
          <w:rFonts w:eastAsia="Times New Roman"/>
          <w:color w:val="auto"/>
          <w:spacing w:val="-3"/>
          <w:lang w:val="ro-RO"/>
        </w:rPr>
        <w:t xml:space="preserve"> UAIC: </w:t>
      </w:r>
      <w:hyperlink r:id="rId8" w:history="1">
        <w:r w:rsidR="00845EDD" w:rsidRPr="002C4CBF">
          <w:rPr>
            <w:rStyle w:val="Hyperlink"/>
          </w:rPr>
          <w:t>https://www.uaic.ro/international/programul-erasmus-tari-partenere/acorduri-inter-institutionale-erasmus-cu-tarile-terte/</w:t>
        </w:r>
      </w:hyperlink>
    </w:p>
    <w:p w14:paraId="629E91C6" w14:textId="77777777" w:rsidR="004E72BA" w:rsidRPr="00136BBC" w:rsidRDefault="004E72BA" w:rsidP="00806ED1">
      <w:pPr>
        <w:keepLines/>
        <w:widowControl w:val="0"/>
        <w:jc w:val="both"/>
        <w:rPr>
          <w:color w:val="1F3864"/>
          <w:lang w:val="ro-RO"/>
        </w:rPr>
      </w:pPr>
    </w:p>
    <w:p w14:paraId="784B5203" w14:textId="77777777" w:rsidR="00F021F4" w:rsidRPr="00136BBC" w:rsidRDefault="001E482F" w:rsidP="00806ED1">
      <w:pPr>
        <w:keepLines/>
        <w:widowControl w:val="0"/>
        <w:jc w:val="both"/>
        <w:rPr>
          <w:lang w:val="ro-RO"/>
        </w:rPr>
      </w:pPr>
      <w:r w:rsidRPr="000B2343">
        <w:rPr>
          <w:b/>
          <w:bCs/>
          <w:highlight w:val="cyan"/>
          <w:lang w:val="ro-RO"/>
        </w:rPr>
        <w:t>Mobilitatea de practică (SMT)</w:t>
      </w:r>
      <w:r w:rsidR="004E72BA" w:rsidRPr="007D022F">
        <w:rPr>
          <w:b/>
          <w:bCs/>
          <w:lang w:val="ro-RO"/>
        </w:rPr>
        <w:t xml:space="preserve"> d</w:t>
      </w:r>
      <w:r w:rsidR="004E72BA" w:rsidRPr="001E7A05">
        <w:rPr>
          <w:b/>
          <w:bCs/>
          <w:lang w:val="ro-RO"/>
        </w:rPr>
        <w:t>e scurtă durată</w:t>
      </w:r>
      <w:r w:rsidRPr="00136BBC">
        <w:rPr>
          <w:lang w:val="ro-RO"/>
        </w:rPr>
        <w:t xml:space="preserve"> – o perioadă de stagiu în </w:t>
      </w:r>
      <w:r w:rsidR="007A0A12" w:rsidRPr="00136BBC">
        <w:rPr>
          <w:lang w:val="ro-RO"/>
        </w:rPr>
        <w:t xml:space="preserve">străinătate </w:t>
      </w:r>
      <w:r w:rsidR="00F021F4" w:rsidRPr="00136BBC">
        <w:rPr>
          <w:lang w:val="ro-RO"/>
        </w:rPr>
        <w:t>(nu cursuri urmate în cadrul unei universități)</w:t>
      </w:r>
      <w:r w:rsidRPr="00136BBC">
        <w:rPr>
          <w:lang w:val="ro-RO"/>
        </w:rPr>
        <w:t xml:space="preserve"> </w:t>
      </w:r>
      <w:r w:rsidR="008F2CEC" w:rsidRPr="00136BBC">
        <w:rPr>
          <w:lang w:val="ro-RO"/>
        </w:rPr>
        <w:t>desfășurat</w:t>
      </w:r>
      <w:r w:rsidR="0034661B" w:rsidRPr="00136BBC">
        <w:rPr>
          <w:lang w:val="ro-RO"/>
        </w:rPr>
        <w:t xml:space="preserve"> de studenți, doctoranzi și viitori proaspăt absolvenți l</w:t>
      </w:r>
      <w:r w:rsidRPr="00136BBC">
        <w:rPr>
          <w:lang w:val="ro-RO"/>
        </w:rPr>
        <w:t>a</w:t>
      </w:r>
      <w:r w:rsidR="00F021F4" w:rsidRPr="00136BBC">
        <w:rPr>
          <w:rStyle w:val="FootnoteReference"/>
          <w:lang w:val="ro-RO"/>
        </w:rPr>
        <w:footnoteReference w:id="1"/>
      </w:r>
      <w:r w:rsidR="00F021F4" w:rsidRPr="00136BBC">
        <w:rPr>
          <w:lang w:val="ro-RO"/>
        </w:rPr>
        <w:t>:</w:t>
      </w:r>
    </w:p>
    <w:p w14:paraId="7C962B4E" w14:textId="77777777" w:rsidR="004128E8" w:rsidRPr="00136BBC" w:rsidRDefault="004128E8" w:rsidP="00806ED1">
      <w:pPr>
        <w:pStyle w:val="ListParagraph"/>
        <w:keepLines/>
        <w:widowControl w:val="0"/>
        <w:numPr>
          <w:ilvl w:val="1"/>
          <w:numId w:val="4"/>
        </w:numPr>
        <w:ind w:left="360"/>
        <w:jc w:val="both"/>
        <w:rPr>
          <w:lang w:val="ro-RO"/>
        </w:rPr>
      </w:pPr>
      <w:r w:rsidRPr="00136BBC">
        <w:rPr>
          <w:lang w:val="ro-RO"/>
        </w:rPr>
        <w:t>o in</w:t>
      </w:r>
      <w:r w:rsidR="00B931A3" w:rsidRPr="00136BBC">
        <w:rPr>
          <w:lang w:val="ro-RO"/>
        </w:rPr>
        <w:t xml:space="preserve">stituţie de învăţământ superior dintr-o țară terță care nu este asociată la </w:t>
      </w:r>
      <w:r w:rsidR="003A2E68" w:rsidRPr="00136BBC">
        <w:rPr>
          <w:lang w:val="ro-RO"/>
        </w:rPr>
        <w:t xml:space="preserve">Programul Erasmus+, </w:t>
      </w:r>
      <w:r w:rsidR="00B931A3" w:rsidRPr="00136BBC">
        <w:rPr>
          <w:lang w:val="ro-RO"/>
        </w:rPr>
        <w:t>recunoscută de autoritățile competente, care a semnat acord interinstituțional cu UAIC;</w:t>
      </w:r>
    </w:p>
    <w:p w14:paraId="28085708" w14:textId="77777777" w:rsidR="00F77F73" w:rsidRPr="00136BBC" w:rsidRDefault="00F021F4" w:rsidP="00806ED1">
      <w:pPr>
        <w:pStyle w:val="ListParagraph"/>
        <w:keepLines/>
        <w:widowControl w:val="0"/>
        <w:numPr>
          <w:ilvl w:val="1"/>
          <w:numId w:val="4"/>
        </w:numPr>
        <w:ind w:left="360"/>
        <w:jc w:val="both"/>
        <w:rPr>
          <w:lang w:val="ro-RO"/>
        </w:rPr>
      </w:pPr>
      <w:r w:rsidRPr="00136BBC">
        <w:rPr>
          <w:lang w:val="ro-RO"/>
        </w:rPr>
        <w:t>o</w:t>
      </w:r>
      <w:r w:rsidR="001E482F" w:rsidRPr="00136BBC">
        <w:rPr>
          <w:lang w:val="ro-RO"/>
        </w:rPr>
        <w:t xml:space="preserve"> instituți</w:t>
      </w:r>
      <w:r w:rsidRPr="00136BBC">
        <w:rPr>
          <w:lang w:val="ro-RO"/>
        </w:rPr>
        <w:t>e</w:t>
      </w:r>
      <w:r w:rsidR="001E482F" w:rsidRPr="00136BBC">
        <w:rPr>
          <w:lang w:val="ro-RO"/>
        </w:rPr>
        <w:t xml:space="preserve"> public</w:t>
      </w:r>
      <w:r w:rsidRPr="00136BBC">
        <w:rPr>
          <w:lang w:val="ro-RO"/>
        </w:rPr>
        <w:t>ă</w:t>
      </w:r>
      <w:r w:rsidR="001E482F" w:rsidRPr="00136BBC">
        <w:rPr>
          <w:lang w:val="ro-RO"/>
        </w:rPr>
        <w:t xml:space="preserve"> sau privat</w:t>
      </w:r>
      <w:r w:rsidRPr="00136BBC">
        <w:rPr>
          <w:lang w:val="ro-RO"/>
        </w:rPr>
        <w:t>ă</w:t>
      </w:r>
      <w:r w:rsidR="001E482F" w:rsidRPr="00136BBC">
        <w:rPr>
          <w:lang w:val="ro-RO"/>
        </w:rPr>
        <w:t xml:space="preserve"> activ</w:t>
      </w:r>
      <w:r w:rsidRPr="00136BBC">
        <w:rPr>
          <w:lang w:val="ro-RO"/>
        </w:rPr>
        <w:t>ă</w:t>
      </w:r>
      <w:r w:rsidR="001E482F" w:rsidRPr="00136BBC">
        <w:rPr>
          <w:lang w:val="ro-RO"/>
        </w:rPr>
        <w:t xml:space="preserve"> pe piața muncii</w:t>
      </w:r>
      <w:r w:rsidR="00F77F73" w:rsidRPr="00136BBC">
        <w:rPr>
          <w:lang w:val="ro-RO"/>
        </w:rPr>
        <w:t>, sau în domeniile educației, formării, tineretului, cercetării și inovației</w:t>
      </w:r>
      <w:r w:rsidRPr="00136BBC">
        <w:rPr>
          <w:lang w:val="ro-RO"/>
        </w:rPr>
        <w:t>;</w:t>
      </w:r>
    </w:p>
    <w:p w14:paraId="62FFA5F2" w14:textId="77777777" w:rsidR="00F021F4" w:rsidRPr="00136BBC" w:rsidRDefault="00F021F4" w:rsidP="00806ED1">
      <w:pPr>
        <w:pStyle w:val="ListParagraph"/>
        <w:keepLines/>
        <w:widowControl w:val="0"/>
        <w:numPr>
          <w:ilvl w:val="1"/>
          <w:numId w:val="4"/>
        </w:numPr>
        <w:ind w:left="360"/>
        <w:jc w:val="both"/>
        <w:rPr>
          <w:lang w:val="ro-RO"/>
        </w:rPr>
      </w:pPr>
      <w:r w:rsidRPr="00136BBC">
        <w:rPr>
          <w:lang w:val="ro-RO"/>
        </w:rPr>
        <w:t>o organizație, o asociație, un ONG non-profit;</w:t>
      </w:r>
    </w:p>
    <w:p w14:paraId="048E1F2B" w14:textId="77777777" w:rsidR="00F021F4" w:rsidRPr="00136BBC" w:rsidRDefault="00F021F4" w:rsidP="00806ED1">
      <w:pPr>
        <w:pStyle w:val="ListParagraph"/>
        <w:keepLines/>
        <w:widowControl w:val="0"/>
        <w:numPr>
          <w:ilvl w:val="1"/>
          <w:numId w:val="4"/>
        </w:numPr>
        <w:ind w:left="360"/>
        <w:jc w:val="both"/>
        <w:rPr>
          <w:lang w:val="ro-RO"/>
        </w:rPr>
      </w:pPr>
      <w:r w:rsidRPr="00136BBC">
        <w:rPr>
          <w:lang w:val="ro-RO"/>
        </w:rPr>
        <w:t>un organism care oferă servicii de orientare profesională, de consilie</w:t>
      </w:r>
      <w:r w:rsidR="00B931A3" w:rsidRPr="00136BBC">
        <w:rPr>
          <w:lang w:val="ro-RO"/>
        </w:rPr>
        <w:t>re profesională și de informare.</w:t>
      </w:r>
      <w:r w:rsidRPr="00136BBC">
        <w:rPr>
          <w:lang w:val="ro-RO"/>
        </w:rPr>
        <w:cr/>
      </w:r>
      <w:r w:rsidR="0074160B" w:rsidRPr="00136BBC">
        <w:rPr>
          <w:lang w:val="ro-RO" w:eastAsia="ro-RO"/>
        </w:rPr>
        <w:t xml:space="preserve"> </w:t>
      </w:r>
    </w:p>
    <w:p w14:paraId="5B4E5776" w14:textId="77777777" w:rsidR="001E482F" w:rsidRPr="00136BBC" w:rsidRDefault="008F2CEC" w:rsidP="00806ED1">
      <w:pPr>
        <w:keepLines/>
        <w:widowControl w:val="0"/>
        <w:jc w:val="both"/>
        <w:rPr>
          <w:lang w:val="ro-RO"/>
        </w:rPr>
      </w:pPr>
      <w:r w:rsidRPr="00136BBC">
        <w:rPr>
          <w:lang w:val="ro-RO"/>
        </w:rPr>
        <w:t>Mobilitățile Erasmus+ de practică includ</w:t>
      </w:r>
      <w:r w:rsidR="001E482F" w:rsidRPr="00136BBC">
        <w:rPr>
          <w:lang w:val="ro-RO"/>
        </w:rPr>
        <w:t xml:space="preserve"> și:</w:t>
      </w:r>
    </w:p>
    <w:p w14:paraId="677E3576" w14:textId="77777777" w:rsidR="001E482F" w:rsidRPr="002A4FF2" w:rsidRDefault="000A777A" w:rsidP="00806ED1">
      <w:pPr>
        <w:pStyle w:val="ListParagraph"/>
        <w:keepLines/>
        <w:widowControl w:val="0"/>
        <w:numPr>
          <w:ilvl w:val="0"/>
          <w:numId w:val="2"/>
        </w:numPr>
        <w:ind w:left="360"/>
        <w:jc w:val="both"/>
        <w:rPr>
          <w:lang w:val="ro-RO"/>
        </w:rPr>
      </w:pPr>
      <w:r w:rsidRPr="002A4FF2">
        <w:rPr>
          <w:u w:val="single"/>
          <w:lang w:val="ro-RO"/>
        </w:rPr>
        <w:t>S</w:t>
      </w:r>
      <w:r w:rsidR="001E482F" w:rsidRPr="002A4FF2">
        <w:rPr>
          <w:u w:val="single"/>
          <w:lang w:val="ro-RO"/>
        </w:rPr>
        <w:t>tagii de asistență pentru viitoarele cadre didactice</w:t>
      </w:r>
      <w:r w:rsidR="00E52E13" w:rsidRPr="002A4FF2">
        <w:rPr>
          <w:lang w:val="ro-RO"/>
        </w:rPr>
        <w:t xml:space="preserve"> - </w:t>
      </w:r>
      <w:r w:rsidR="001E482F" w:rsidRPr="002A4FF2">
        <w:rPr>
          <w:lang w:val="ro-RO"/>
        </w:rPr>
        <w:t>„assistantships”;</w:t>
      </w:r>
    </w:p>
    <w:p w14:paraId="6FD5E9C6" w14:textId="77777777" w:rsidR="000A777A" w:rsidRPr="002A4FF2" w:rsidRDefault="00E52E13" w:rsidP="00806ED1">
      <w:pPr>
        <w:pStyle w:val="ListParagraph"/>
        <w:keepLines/>
        <w:widowControl w:val="0"/>
        <w:numPr>
          <w:ilvl w:val="0"/>
          <w:numId w:val="2"/>
        </w:numPr>
        <w:ind w:left="360"/>
        <w:jc w:val="both"/>
        <w:rPr>
          <w:lang w:val="ro-RO"/>
        </w:rPr>
      </w:pPr>
      <w:r w:rsidRPr="002A4FF2">
        <w:rPr>
          <w:u w:val="single"/>
          <w:lang w:val="ro-RO"/>
        </w:rPr>
        <w:t>S</w:t>
      </w:r>
      <w:r w:rsidR="001E482F" w:rsidRPr="002A4FF2">
        <w:rPr>
          <w:u w:val="single"/>
          <w:lang w:val="ro-RO"/>
        </w:rPr>
        <w:t>tagii de asistență pentru cercetare</w:t>
      </w:r>
      <w:r w:rsidR="001E482F" w:rsidRPr="002A4FF2">
        <w:rPr>
          <w:lang w:val="ro-RO"/>
        </w:rPr>
        <w:t xml:space="preserve"> realizate în orice instituție de cercetare relevantă;</w:t>
      </w:r>
    </w:p>
    <w:p w14:paraId="7C763F12" w14:textId="77777777" w:rsidR="001E482F" w:rsidRPr="00136BBC" w:rsidRDefault="000A777A" w:rsidP="00806ED1">
      <w:pPr>
        <w:pStyle w:val="ListParagraph"/>
        <w:keepLines/>
        <w:widowControl w:val="0"/>
        <w:numPr>
          <w:ilvl w:val="0"/>
          <w:numId w:val="2"/>
        </w:numPr>
        <w:ind w:left="360"/>
        <w:jc w:val="both"/>
        <w:rPr>
          <w:lang w:val="ro-RO"/>
        </w:rPr>
      </w:pPr>
      <w:r w:rsidRPr="00136BBC">
        <w:rPr>
          <w:u w:val="single"/>
          <w:lang w:val="ro-RO"/>
        </w:rPr>
        <w:t>D</w:t>
      </w:r>
      <w:r w:rsidR="001E482F" w:rsidRPr="00136BBC">
        <w:rPr>
          <w:u w:val="single"/>
          <w:lang w:val="ro-RO"/>
        </w:rPr>
        <w:t>igital Opportunity Traineeships</w:t>
      </w:r>
      <w:r w:rsidR="00141E94" w:rsidRPr="00136BBC">
        <w:rPr>
          <w:rStyle w:val="FootnoteReference"/>
          <w:u w:val="single"/>
          <w:lang w:val="ro-RO"/>
        </w:rPr>
        <w:footnoteReference w:id="2"/>
      </w:r>
      <w:r w:rsidR="00141E94" w:rsidRPr="00136BBC">
        <w:rPr>
          <w:lang w:val="ro-RO"/>
        </w:rPr>
        <w:t xml:space="preserve"> </w:t>
      </w:r>
      <w:r w:rsidR="001E482F" w:rsidRPr="00136BBC">
        <w:rPr>
          <w:lang w:val="ro-RO"/>
        </w:rPr>
        <w:t xml:space="preserve">- </w:t>
      </w:r>
      <w:r w:rsidR="00E0260E" w:rsidRPr="00136BBC">
        <w:rPr>
          <w:lang w:val="ro-RO"/>
        </w:rPr>
        <w:t>desfășurate</w:t>
      </w:r>
      <w:r w:rsidR="001E482F" w:rsidRPr="00136BBC">
        <w:rPr>
          <w:lang w:val="ro-RO"/>
        </w:rPr>
        <w:t xml:space="preserve"> pentru obținerea de competențe digitale</w:t>
      </w:r>
      <w:r w:rsidR="00E52E13" w:rsidRPr="00136BBC">
        <w:rPr>
          <w:lang w:val="ro-RO"/>
        </w:rPr>
        <w:t>.</w:t>
      </w:r>
    </w:p>
    <w:p w14:paraId="0D4DC1D7" w14:textId="77777777" w:rsidR="005F23EA" w:rsidRDefault="005F23EA" w:rsidP="005F23EA">
      <w:pPr>
        <w:keepLines/>
        <w:widowControl w:val="0"/>
        <w:jc w:val="both"/>
        <w:rPr>
          <w:b/>
          <w:lang w:val="ro-RO"/>
        </w:rPr>
      </w:pPr>
    </w:p>
    <w:p w14:paraId="6620CE92" w14:textId="77777777" w:rsidR="007514DE" w:rsidRDefault="007514DE">
      <w:pPr>
        <w:rPr>
          <w:b/>
          <w:lang w:val="ro-RO"/>
        </w:rPr>
      </w:pPr>
      <w:r>
        <w:rPr>
          <w:b/>
          <w:lang w:val="ro-RO"/>
        </w:rPr>
        <w:br w:type="page"/>
      </w:r>
    </w:p>
    <w:p w14:paraId="69C82C96" w14:textId="071A3E94" w:rsidR="005F23EA" w:rsidRDefault="005F23EA" w:rsidP="005F23EA">
      <w:pPr>
        <w:keepLines/>
        <w:widowControl w:val="0"/>
        <w:jc w:val="both"/>
        <w:rPr>
          <w:b/>
          <w:lang w:val="ro-RO"/>
        </w:rPr>
      </w:pPr>
      <w:r w:rsidRPr="007514DE">
        <w:rPr>
          <w:b/>
          <w:highlight w:val="cyan"/>
          <w:lang w:val="ro-RO"/>
        </w:rPr>
        <w:lastRenderedPageBreak/>
        <w:t>Pentru of</w:t>
      </w:r>
      <w:r w:rsidRPr="007514DE">
        <w:rPr>
          <w:b/>
          <w:bCs/>
          <w:highlight w:val="cyan"/>
          <w:lang w:val="ro-RO"/>
        </w:rPr>
        <w:t>ertele de mobilități de practică,</w:t>
      </w:r>
      <w:r w:rsidRPr="007514DE">
        <w:rPr>
          <w:b/>
          <w:highlight w:val="cyan"/>
          <w:lang w:val="ro-RO"/>
        </w:rPr>
        <w:t xml:space="preserve"> puteți consulta:</w:t>
      </w:r>
    </w:p>
    <w:p w14:paraId="14DF7734" w14:textId="77777777" w:rsidR="007514DE" w:rsidRPr="007514DE" w:rsidRDefault="007514DE" w:rsidP="005F23EA">
      <w:pPr>
        <w:keepLines/>
        <w:widowControl w:val="0"/>
        <w:jc w:val="both"/>
        <w:rPr>
          <w:b/>
          <w:lang w:val="ro-RO"/>
        </w:rPr>
      </w:pPr>
    </w:p>
    <w:p w14:paraId="1CD4B40A" w14:textId="77777777" w:rsidR="007514DE" w:rsidRPr="007514DE" w:rsidRDefault="007514DE" w:rsidP="007514DE">
      <w:pPr>
        <w:keepLines/>
        <w:widowControl w:val="0"/>
        <w:numPr>
          <w:ilvl w:val="0"/>
          <w:numId w:val="26"/>
        </w:numPr>
        <w:ind w:left="426"/>
        <w:contextualSpacing/>
        <w:rPr>
          <w:noProof/>
          <w:lang w:val="ro-RO"/>
        </w:rPr>
      </w:pPr>
      <w:r w:rsidRPr="007514DE">
        <w:rPr>
          <w:b/>
          <w:bCs/>
          <w:noProof/>
          <w:lang w:val="ro-RO"/>
        </w:rPr>
        <w:t>Coordonatorul Erasmus+</w:t>
      </w:r>
      <w:r w:rsidRPr="007514DE">
        <w:rPr>
          <w:noProof/>
          <w:lang w:val="ro-RO"/>
        </w:rPr>
        <w:t xml:space="preserve"> pentru mobilități de practică de la facultate: .......................................................................................................................</w:t>
      </w:r>
    </w:p>
    <w:p w14:paraId="270BA366" w14:textId="77777777" w:rsidR="007514DE" w:rsidRPr="007514DE" w:rsidRDefault="0047514C" w:rsidP="007514DE">
      <w:pPr>
        <w:pStyle w:val="ListParagraph"/>
        <w:keepLines/>
        <w:widowControl w:val="0"/>
        <w:numPr>
          <w:ilvl w:val="0"/>
          <w:numId w:val="26"/>
        </w:numPr>
        <w:ind w:left="426"/>
        <w:rPr>
          <w:noProof/>
          <w:lang w:val="ro-RO"/>
        </w:rPr>
      </w:pPr>
      <w:hyperlink r:id="rId9" w:history="1">
        <w:r w:rsidR="007514DE" w:rsidRPr="007514DE">
          <w:rPr>
            <w:noProof/>
            <w:color w:val="0000FF"/>
            <w:u w:val="single"/>
            <w:lang w:val="ro-RO"/>
          </w:rPr>
          <w:t>https://www.uaic.ro/wp-content/uploads/2022/10/Centralizator-coordonatori-Erasmus-SMS-SMP-STA_actualizat-1.pdf</w:t>
        </w:r>
      </w:hyperlink>
      <w:r w:rsidR="007514DE" w:rsidRPr="007514DE">
        <w:rPr>
          <w:noProof/>
          <w:lang w:val="ro-RO"/>
        </w:rPr>
        <w:t xml:space="preserve"> </w:t>
      </w:r>
    </w:p>
    <w:p w14:paraId="048849A3" w14:textId="77777777" w:rsidR="007514DE" w:rsidRPr="007514DE" w:rsidRDefault="007514DE" w:rsidP="007514DE">
      <w:pPr>
        <w:keepLines/>
        <w:widowControl w:val="0"/>
        <w:numPr>
          <w:ilvl w:val="0"/>
          <w:numId w:val="26"/>
        </w:numPr>
        <w:ind w:left="426"/>
        <w:contextualSpacing/>
        <w:rPr>
          <w:noProof/>
          <w:lang w:val="ro-RO"/>
        </w:rPr>
      </w:pPr>
      <w:r w:rsidRPr="007514DE">
        <w:rPr>
          <w:b/>
          <w:bCs/>
          <w:noProof/>
          <w:lang w:val="ro-RO"/>
        </w:rPr>
        <w:t>Website-</w:t>
      </w:r>
      <w:r w:rsidRPr="007514DE">
        <w:rPr>
          <w:noProof/>
          <w:lang w:val="ro-RO"/>
        </w:rPr>
        <w:t>ul facultății: ..................................................................................................</w:t>
      </w:r>
    </w:p>
    <w:p w14:paraId="7B7DB3EC" w14:textId="77777777" w:rsidR="007514DE" w:rsidRPr="007514DE" w:rsidRDefault="007514DE" w:rsidP="007514DE">
      <w:pPr>
        <w:keepLines/>
        <w:widowControl w:val="0"/>
        <w:numPr>
          <w:ilvl w:val="0"/>
          <w:numId w:val="26"/>
        </w:numPr>
        <w:ind w:left="426"/>
        <w:contextualSpacing/>
        <w:rPr>
          <w:noProof/>
          <w:lang w:val="ro-RO"/>
        </w:rPr>
      </w:pPr>
      <w:r w:rsidRPr="007514DE">
        <w:rPr>
          <w:noProof/>
          <w:lang w:val="ro-RO"/>
        </w:rPr>
        <w:t xml:space="preserve">Pagina de </w:t>
      </w:r>
      <w:r w:rsidRPr="007514DE">
        <w:rPr>
          <w:b/>
          <w:bCs/>
          <w:noProof/>
          <w:lang w:val="ro-RO"/>
        </w:rPr>
        <w:t>Facebook</w:t>
      </w:r>
      <w:r w:rsidRPr="007514DE">
        <w:rPr>
          <w:noProof/>
          <w:lang w:val="ro-RO"/>
        </w:rPr>
        <w:t xml:space="preserve"> a facultății: ………………………………………………………</w:t>
      </w:r>
    </w:p>
    <w:p w14:paraId="206C7067" w14:textId="77777777" w:rsidR="007514DE" w:rsidRPr="007514DE" w:rsidRDefault="007514DE" w:rsidP="007514DE">
      <w:pPr>
        <w:keepLines/>
        <w:widowControl w:val="0"/>
        <w:numPr>
          <w:ilvl w:val="0"/>
          <w:numId w:val="26"/>
        </w:numPr>
        <w:ind w:left="426"/>
        <w:contextualSpacing/>
        <w:rPr>
          <w:noProof/>
          <w:lang w:val="ro-RO"/>
        </w:rPr>
      </w:pPr>
      <w:r w:rsidRPr="007514DE">
        <w:rPr>
          <w:b/>
          <w:bCs/>
          <w:noProof/>
          <w:lang w:val="ro-RO"/>
        </w:rPr>
        <w:t>Avizierul</w:t>
      </w:r>
      <w:r w:rsidRPr="007514DE">
        <w:rPr>
          <w:noProof/>
          <w:lang w:val="ro-RO"/>
        </w:rPr>
        <w:t xml:space="preserve"> de la secretariatul facultății  </w:t>
      </w:r>
    </w:p>
    <w:p w14:paraId="7B20E912" w14:textId="77777777" w:rsidR="007514DE" w:rsidRPr="007514DE" w:rsidRDefault="007514DE" w:rsidP="007514DE">
      <w:pPr>
        <w:keepLines/>
        <w:widowControl w:val="0"/>
        <w:numPr>
          <w:ilvl w:val="0"/>
          <w:numId w:val="26"/>
        </w:numPr>
        <w:ind w:left="426"/>
        <w:contextualSpacing/>
        <w:rPr>
          <w:noProof/>
          <w:color w:val="0000FF"/>
          <w:u w:val="single"/>
          <w:lang w:val="ro-RO"/>
        </w:rPr>
      </w:pPr>
      <w:r w:rsidRPr="007514DE">
        <w:rPr>
          <w:b/>
          <w:bCs/>
          <w:noProof/>
          <w:lang w:val="ro-RO"/>
        </w:rPr>
        <w:t>Website-ul UAIC</w:t>
      </w:r>
      <w:r w:rsidRPr="007514DE">
        <w:rPr>
          <w:noProof/>
          <w:lang w:val="ro-RO"/>
        </w:rPr>
        <w:t xml:space="preserve">: </w:t>
      </w:r>
      <w:hyperlink r:id="rId10" w:history="1">
        <w:r w:rsidRPr="007514DE">
          <w:rPr>
            <w:noProof/>
            <w:color w:val="0000FF"/>
            <w:u w:val="single"/>
            <w:lang w:val="ro-RO"/>
          </w:rPr>
          <w:t>https://www.uaic.ro/international/programul-erasmus-tari-partenere/mobilitati-studentesti-de-practica/</w:t>
        </w:r>
      </w:hyperlink>
    </w:p>
    <w:p w14:paraId="389A4695" w14:textId="77777777" w:rsidR="007514DE" w:rsidRPr="007514DE" w:rsidRDefault="007514DE" w:rsidP="007514DE">
      <w:pPr>
        <w:keepLines/>
        <w:widowControl w:val="0"/>
        <w:numPr>
          <w:ilvl w:val="0"/>
          <w:numId w:val="26"/>
        </w:numPr>
        <w:ind w:left="426"/>
        <w:contextualSpacing/>
        <w:rPr>
          <w:noProof/>
          <w:lang w:val="ro-RO"/>
        </w:rPr>
      </w:pPr>
      <w:r w:rsidRPr="007514DE">
        <w:rPr>
          <w:noProof/>
          <w:lang w:val="ro-RO"/>
        </w:rPr>
        <w:t xml:space="preserve">Pagina de </w:t>
      </w:r>
      <w:r w:rsidRPr="007514DE">
        <w:rPr>
          <w:b/>
          <w:bCs/>
          <w:noProof/>
          <w:lang w:val="ro-RO"/>
        </w:rPr>
        <w:t>Facebook</w:t>
      </w:r>
      <w:r w:rsidRPr="007514DE">
        <w:rPr>
          <w:noProof/>
          <w:lang w:val="ro-RO"/>
        </w:rPr>
        <w:t xml:space="preserve"> </w:t>
      </w:r>
      <w:r w:rsidRPr="007514DE">
        <w:rPr>
          <w:b/>
          <w:bCs/>
          <w:noProof/>
          <w:lang w:val="ro-RO"/>
        </w:rPr>
        <w:t>Erasmus UAIC</w:t>
      </w:r>
      <w:r w:rsidRPr="007514DE">
        <w:rPr>
          <w:bCs/>
          <w:noProof/>
          <w:lang w:val="ro-RO"/>
        </w:rPr>
        <w:t>:</w:t>
      </w:r>
      <w:r w:rsidRPr="007514DE">
        <w:rPr>
          <w:noProof/>
          <w:lang w:val="ro-RO"/>
        </w:rPr>
        <w:t xml:space="preserve"> </w:t>
      </w:r>
      <w:hyperlink r:id="rId11" w:history="1">
        <w:r w:rsidRPr="007514DE">
          <w:rPr>
            <w:noProof/>
            <w:color w:val="0000FF"/>
            <w:u w:val="single"/>
            <w:lang w:val="ro-RO"/>
          </w:rPr>
          <w:t>https://www.facebook.com/ErasmusUAIC</w:t>
        </w:r>
      </w:hyperlink>
    </w:p>
    <w:p w14:paraId="1192A377" w14:textId="77777777" w:rsidR="007514DE" w:rsidRPr="007514DE" w:rsidRDefault="007514DE" w:rsidP="007514DE">
      <w:pPr>
        <w:keepLines/>
        <w:widowControl w:val="0"/>
        <w:numPr>
          <w:ilvl w:val="0"/>
          <w:numId w:val="26"/>
        </w:numPr>
        <w:ind w:left="426"/>
        <w:contextualSpacing/>
        <w:rPr>
          <w:noProof/>
          <w:lang w:val="ro-RO"/>
        </w:rPr>
      </w:pPr>
      <w:r w:rsidRPr="007514DE">
        <w:rPr>
          <w:noProof/>
          <w:lang w:val="ro-RO"/>
        </w:rPr>
        <w:t xml:space="preserve">Grupul de </w:t>
      </w:r>
      <w:r w:rsidRPr="007514DE">
        <w:rPr>
          <w:b/>
          <w:bCs/>
          <w:noProof/>
          <w:lang w:val="ro-RO"/>
        </w:rPr>
        <w:t>Facebook</w:t>
      </w:r>
      <w:r w:rsidRPr="007514DE">
        <w:rPr>
          <w:noProof/>
          <w:lang w:val="ro-RO"/>
        </w:rPr>
        <w:t xml:space="preserve"> </w:t>
      </w:r>
      <w:r w:rsidRPr="007514DE">
        <w:rPr>
          <w:b/>
          <w:bCs/>
          <w:noProof/>
          <w:lang w:val="ro-RO"/>
        </w:rPr>
        <w:t>Erasmus UAIC</w:t>
      </w:r>
      <w:r w:rsidRPr="007514DE">
        <w:rPr>
          <w:noProof/>
          <w:lang w:val="ro-RO"/>
        </w:rPr>
        <w:t>:</w:t>
      </w:r>
      <w:r w:rsidRPr="007514DE">
        <w:rPr>
          <w:noProof/>
          <w:color w:val="1F4E79"/>
          <w:lang w:val="ro-RO"/>
        </w:rPr>
        <w:t xml:space="preserve"> </w:t>
      </w:r>
      <w:hyperlink r:id="rId12" w:history="1">
        <w:r w:rsidRPr="007514DE">
          <w:rPr>
            <w:noProof/>
            <w:color w:val="0000FF"/>
            <w:u w:val="single"/>
            <w:lang w:val="ro-RO"/>
          </w:rPr>
          <w:t>https://www.facebook.com/groups/173152296132716/</w:t>
        </w:r>
      </w:hyperlink>
    </w:p>
    <w:p w14:paraId="4195BDD5" w14:textId="77777777" w:rsidR="007514DE" w:rsidRPr="007514DE" w:rsidRDefault="007514DE" w:rsidP="007514DE">
      <w:pPr>
        <w:keepLines/>
        <w:widowControl w:val="0"/>
        <w:numPr>
          <w:ilvl w:val="0"/>
          <w:numId w:val="26"/>
        </w:numPr>
        <w:ind w:left="426"/>
        <w:contextualSpacing/>
        <w:rPr>
          <w:noProof/>
          <w:lang w:val="ro-RO"/>
        </w:rPr>
      </w:pPr>
      <w:r w:rsidRPr="007514DE">
        <w:rPr>
          <w:noProof/>
          <w:lang w:val="ro-RO"/>
        </w:rPr>
        <w:t xml:space="preserve">Pagina de </w:t>
      </w:r>
      <w:r w:rsidRPr="007514DE">
        <w:rPr>
          <w:b/>
          <w:bCs/>
          <w:noProof/>
          <w:lang w:val="ro-RO"/>
        </w:rPr>
        <w:t>Instagram</w:t>
      </w:r>
      <w:r w:rsidRPr="007514DE">
        <w:rPr>
          <w:noProof/>
          <w:lang w:val="ro-RO"/>
        </w:rPr>
        <w:t xml:space="preserve"> </w:t>
      </w:r>
      <w:r w:rsidRPr="007514DE">
        <w:rPr>
          <w:b/>
          <w:bCs/>
          <w:noProof/>
          <w:lang w:val="ro-RO"/>
        </w:rPr>
        <w:t>Erasmus+/SEE, UAIC</w:t>
      </w:r>
      <w:r w:rsidRPr="007514DE">
        <w:rPr>
          <w:bCs/>
          <w:noProof/>
          <w:lang w:val="ro-RO"/>
        </w:rPr>
        <w:t>:</w:t>
      </w:r>
      <w:r w:rsidRPr="007514DE">
        <w:rPr>
          <w:bCs/>
          <w:noProof/>
          <w:color w:val="1F4E79"/>
          <w:lang w:val="ro-RO"/>
        </w:rPr>
        <w:t xml:space="preserve"> </w:t>
      </w:r>
      <w:hyperlink r:id="rId13" w:history="1">
        <w:r w:rsidRPr="007514DE">
          <w:rPr>
            <w:noProof/>
            <w:color w:val="0000FF"/>
            <w:u w:val="single"/>
            <w:lang w:val="ro-RO"/>
          </w:rPr>
          <w:t>https://www.instagram.com/erasmus_see_uaic/</w:t>
        </w:r>
      </w:hyperlink>
    </w:p>
    <w:p w14:paraId="28A077A9" w14:textId="77777777" w:rsidR="007514DE" w:rsidRPr="007514DE" w:rsidRDefault="007514DE" w:rsidP="007514DE">
      <w:pPr>
        <w:keepLines/>
        <w:widowControl w:val="0"/>
        <w:numPr>
          <w:ilvl w:val="0"/>
          <w:numId w:val="26"/>
        </w:numPr>
        <w:ind w:left="426"/>
        <w:contextualSpacing/>
        <w:rPr>
          <w:noProof/>
          <w:lang w:val="ro-RO"/>
        </w:rPr>
      </w:pPr>
      <w:r w:rsidRPr="007514DE">
        <w:rPr>
          <w:b/>
          <w:bCs/>
          <w:noProof/>
          <w:lang w:val="ro-RO"/>
        </w:rPr>
        <w:t>Portalul</w:t>
      </w:r>
      <w:r w:rsidRPr="007514DE">
        <w:rPr>
          <w:noProof/>
          <w:lang w:val="ro-RO"/>
        </w:rPr>
        <w:t xml:space="preserve"> </w:t>
      </w:r>
      <w:hyperlink r:id="rId14" w:history="1">
        <w:r w:rsidRPr="007514DE">
          <w:rPr>
            <w:noProof/>
            <w:color w:val="0000FF"/>
            <w:u w:val="single"/>
            <w:lang w:val="ro-RO"/>
          </w:rPr>
          <w:t>https://erasmusintern.org/</w:t>
        </w:r>
      </w:hyperlink>
    </w:p>
    <w:p w14:paraId="2F1B5BB9" w14:textId="77777777" w:rsidR="007514DE" w:rsidRPr="007514DE" w:rsidRDefault="007514DE" w:rsidP="007514DE">
      <w:pPr>
        <w:keepLines/>
        <w:widowControl w:val="0"/>
        <w:numPr>
          <w:ilvl w:val="0"/>
          <w:numId w:val="26"/>
        </w:numPr>
        <w:ind w:left="426"/>
        <w:contextualSpacing/>
        <w:rPr>
          <w:noProof/>
          <w:lang w:val="ro-RO"/>
        </w:rPr>
      </w:pPr>
      <w:r w:rsidRPr="007514DE">
        <w:rPr>
          <w:b/>
          <w:bCs/>
          <w:noProof/>
          <w:lang w:val="ro-RO"/>
        </w:rPr>
        <w:t>Website</w:t>
      </w:r>
      <w:r w:rsidRPr="007514DE">
        <w:rPr>
          <w:bCs/>
          <w:noProof/>
          <w:lang w:val="ro-RO"/>
        </w:rPr>
        <w:t>-urile instituțiilor publice sau private vizate pentru desfășurarea mobilității</w:t>
      </w:r>
    </w:p>
    <w:p w14:paraId="479A8D11" w14:textId="77777777" w:rsidR="007514DE" w:rsidRPr="007514DE" w:rsidRDefault="0047514C" w:rsidP="007514DE">
      <w:pPr>
        <w:keepLines/>
        <w:widowControl w:val="0"/>
        <w:numPr>
          <w:ilvl w:val="0"/>
          <w:numId w:val="26"/>
        </w:numPr>
        <w:ind w:left="426"/>
        <w:contextualSpacing/>
        <w:rPr>
          <w:noProof/>
          <w:lang w:val="ro-RO"/>
        </w:rPr>
      </w:pPr>
      <w:hyperlink r:id="rId15" w:history="1">
        <w:r w:rsidR="007514DE" w:rsidRPr="007514DE">
          <w:rPr>
            <w:rFonts w:ascii="inherit" w:hAnsi="inherit" w:cs="Segoe UI Historic"/>
            <w:noProof/>
            <w:color w:val="0000FF"/>
            <w:sz w:val="23"/>
            <w:szCs w:val="23"/>
            <w:u w:val="single"/>
            <w:lang w:val="ro-RO"/>
          </w:rPr>
          <w:t>https://legalisglobal.com/job-search/</w:t>
        </w:r>
      </w:hyperlink>
    </w:p>
    <w:p w14:paraId="0F229C3F" w14:textId="77777777" w:rsidR="007514DE" w:rsidRPr="007514DE" w:rsidRDefault="0047514C" w:rsidP="007514DE">
      <w:pPr>
        <w:keepLines/>
        <w:widowControl w:val="0"/>
        <w:numPr>
          <w:ilvl w:val="0"/>
          <w:numId w:val="26"/>
        </w:numPr>
        <w:ind w:left="426"/>
        <w:contextualSpacing/>
        <w:rPr>
          <w:noProof/>
          <w:lang w:val="ro-RO"/>
        </w:rPr>
      </w:pPr>
      <w:hyperlink r:id="rId16" w:history="1">
        <w:r w:rsidR="007514DE" w:rsidRPr="007514DE">
          <w:rPr>
            <w:rFonts w:ascii="inherit" w:hAnsi="inherit" w:cs="Segoe UI Historic"/>
            <w:noProof/>
            <w:color w:val="0000FF"/>
            <w:sz w:val="23"/>
            <w:szCs w:val="23"/>
            <w:u w:val="single"/>
            <w:lang w:val="ro-RO"/>
          </w:rPr>
          <w:t>https://www.espauk.com/internships/</w:t>
        </w:r>
      </w:hyperlink>
    </w:p>
    <w:p w14:paraId="01E18EB8" w14:textId="77777777" w:rsidR="005F23EA" w:rsidRDefault="005F23EA" w:rsidP="005F23EA">
      <w:pPr>
        <w:pStyle w:val="ListParagraph"/>
        <w:keepLines/>
        <w:widowControl w:val="0"/>
        <w:ind w:left="0"/>
        <w:jc w:val="both"/>
        <w:rPr>
          <w:b/>
          <w:bCs/>
          <w:lang w:val="ro-RO"/>
        </w:rPr>
      </w:pPr>
    </w:p>
    <w:p w14:paraId="2EE60CEA" w14:textId="00C7890E" w:rsidR="005F23EA" w:rsidRPr="00D5538A" w:rsidRDefault="005F23EA" w:rsidP="005F23EA">
      <w:pPr>
        <w:pStyle w:val="ListParagraph"/>
        <w:keepLines/>
        <w:widowControl w:val="0"/>
        <w:ind w:left="0"/>
        <w:jc w:val="both"/>
        <w:rPr>
          <w:lang w:val="ro-RO"/>
        </w:rPr>
      </w:pPr>
      <w:r w:rsidRPr="00D5538A">
        <w:rPr>
          <w:bCs/>
          <w:lang w:val="ro-RO"/>
        </w:rPr>
        <w:t>De asemenea, studenții sunt încurajați să identifice şi alte oportunități pentru mobilități Erasmus+ de scurtă durată (școli de vară, stagii scurte în companii etc.).</w:t>
      </w:r>
    </w:p>
    <w:p w14:paraId="5F5E9657" w14:textId="77777777" w:rsidR="00090A59" w:rsidRPr="00136BBC" w:rsidRDefault="00090A59" w:rsidP="00806ED1">
      <w:pPr>
        <w:pStyle w:val="ListParagraph"/>
        <w:keepLines/>
        <w:widowControl w:val="0"/>
        <w:ind w:left="0"/>
        <w:jc w:val="both"/>
        <w:rPr>
          <w:lang w:val="ro-RO"/>
        </w:rPr>
      </w:pPr>
    </w:p>
    <w:p w14:paraId="4EDA75CE" w14:textId="49E4F7FF" w:rsidR="000B2343" w:rsidRDefault="001E7A05" w:rsidP="00750EA4">
      <w:pPr>
        <w:keepLines/>
        <w:widowControl w:val="0"/>
        <w:spacing w:after="120"/>
        <w:jc w:val="both"/>
        <w:rPr>
          <w:b/>
          <w:bCs/>
          <w:lang w:val="ro-RO"/>
        </w:rPr>
      </w:pPr>
      <w:r w:rsidRPr="001E7A05">
        <w:rPr>
          <w:b/>
          <w:bCs/>
          <w:highlight w:val="cyan"/>
          <w:lang w:val="ro-RO"/>
        </w:rPr>
        <w:t>Țările eligibile pentru mobilități de scurtă durată (studiu și practic</w:t>
      </w:r>
      <w:r w:rsidRPr="00280375">
        <w:rPr>
          <w:b/>
          <w:bCs/>
          <w:highlight w:val="cyan"/>
          <w:lang w:val="ro-RO"/>
        </w:rPr>
        <w:t>ă)</w:t>
      </w:r>
      <w:r w:rsidR="00280375" w:rsidRPr="00280375">
        <w:rPr>
          <w:b/>
          <w:bCs/>
          <w:highlight w:val="cyan"/>
          <w:lang w:val="ro-RO"/>
        </w:rPr>
        <w:t>:</w:t>
      </w:r>
    </w:p>
    <w:p w14:paraId="67CE5861" w14:textId="3B19E00B" w:rsidR="001E7A05" w:rsidRDefault="001E7A05" w:rsidP="00806ED1">
      <w:pPr>
        <w:keepLines/>
        <w:widowControl w:val="0"/>
        <w:jc w:val="both"/>
        <w:rPr>
          <w:lang w:val="ro-RO"/>
        </w:rPr>
      </w:pPr>
      <w:r>
        <w:rPr>
          <w:spacing w:val="-3"/>
          <w:lang w:val="ro-RO"/>
        </w:rPr>
        <w:t>M</w:t>
      </w:r>
      <w:r w:rsidR="007A0A12" w:rsidRPr="00136BBC">
        <w:rPr>
          <w:spacing w:val="-3"/>
          <w:lang w:val="ro-RO"/>
        </w:rPr>
        <w:t xml:space="preserve">obilitățile de </w:t>
      </w:r>
      <w:r>
        <w:rPr>
          <w:spacing w:val="-3"/>
          <w:lang w:val="ro-RO"/>
        </w:rPr>
        <w:t xml:space="preserve">studiu și </w:t>
      </w:r>
      <w:r w:rsidR="007A0A12" w:rsidRPr="00136BBC">
        <w:rPr>
          <w:spacing w:val="-3"/>
          <w:lang w:val="ro-RO"/>
        </w:rPr>
        <w:t>practică de scurtă durată se pot desfășura în</w:t>
      </w:r>
      <w:r w:rsidR="007A0A12" w:rsidRPr="00136BBC">
        <w:rPr>
          <w:lang w:val="ro-RO"/>
        </w:rPr>
        <w:t xml:space="preserve"> organizaţii din</w:t>
      </w:r>
      <w:r w:rsidR="00C12F33">
        <w:rPr>
          <w:lang w:val="ro-RO"/>
        </w:rPr>
        <w:t>:</w:t>
      </w:r>
    </w:p>
    <w:p w14:paraId="4ABA6ABC" w14:textId="6EC54D8C" w:rsidR="007A0A12" w:rsidRPr="001E7A05" w:rsidRDefault="007A0A12" w:rsidP="001E7A05">
      <w:pPr>
        <w:pStyle w:val="ListParagraph"/>
        <w:keepLines/>
        <w:widowControl w:val="0"/>
        <w:numPr>
          <w:ilvl w:val="0"/>
          <w:numId w:val="22"/>
        </w:numPr>
        <w:jc w:val="both"/>
        <w:rPr>
          <w:lang w:val="ro-RO"/>
        </w:rPr>
      </w:pPr>
      <w:r w:rsidRPr="001E7A05">
        <w:rPr>
          <w:lang w:val="ro-RO"/>
        </w:rPr>
        <w:t>ţări terţe</w:t>
      </w:r>
      <w:r w:rsidR="001E7A05">
        <w:rPr>
          <w:rStyle w:val="FootnoteReference"/>
          <w:lang w:val="ro-RO"/>
        </w:rPr>
        <w:footnoteReference w:id="3"/>
      </w:r>
      <w:r w:rsidRPr="001E7A05">
        <w:rPr>
          <w:lang w:val="ro-RO"/>
        </w:rPr>
        <w:t xml:space="preserve"> care nu sunt asociate Programului Eramus+</w:t>
      </w:r>
      <w:r w:rsidRPr="001E7A05">
        <w:rPr>
          <w:rStyle w:val="FootnoteReference"/>
          <w:vertAlign w:val="baseline"/>
          <w:lang w:val="ro-RO"/>
        </w:rPr>
        <w:t xml:space="preserve">, din regiunile 1 </w:t>
      </w:r>
      <w:r w:rsidR="001E7A05" w:rsidRPr="001E7A05">
        <w:rPr>
          <w:rStyle w:val="FootnoteReference"/>
          <w:vertAlign w:val="baseline"/>
          <w:lang w:val="ro-RO"/>
        </w:rPr>
        <w:t>–</w:t>
      </w:r>
      <w:r w:rsidRPr="001E7A05">
        <w:rPr>
          <w:rStyle w:val="FootnoteReference"/>
          <w:vertAlign w:val="baseline"/>
          <w:lang w:val="ro-RO"/>
        </w:rPr>
        <w:t xml:space="preserve"> 12</w:t>
      </w:r>
      <w:r w:rsidR="001E7A05">
        <w:rPr>
          <w:rStyle w:val="FootnoteReference"/>
          <w:lang w:val="ro-RO"/>
        </w:rPr>
        <w:footnoteReference w:id="4"/>
      </w:r>
      <w:r w:rsidR="001E7A05">
        <w:t xml:space="preserve"> (</w:t>
      </w:r>
      <w:r w:rsidR="001E7A05" w:rsidRPr="001E7A05">
        <w:rPr>
          <w:i/>
          <w:lang w:val="ro-RO"/>
        </w:rPr>
        <w:t>mobilităţile fiind finanţate prin proiectele anuale KA171-HED</w:t>
      </w:r>
      <w:r w:rsidR="001E7A05">
        <w:t>)</w:t>
      </w:r>
      <w:r w:rsidRPr="001E7A05">
        <w:rPr>
          <w:lang w:val="ro-RO"/>
        </w:rPr>
        <w:t>.</w:t>
      </w:r>
    </w:p>
    <w:p w14:paraId="011317E0" w14:textId="62CFAD07" w:rsidR="001E7A05" w:rsidRPr="001E7A05" w:rsidRDefault="001E7A05" w:rsidP="001E7A05">
      <w:pPr>
        <w:pStyle w:val="ListParagraph"/>
        <w:keepLines/>
        <w:widowControl w:val="0"/>
        <w:numPr>
          <w:ilvl w:val="0"/>
          <w:numId w:val="22"/>
        </w:numPr>
        <w:jc w:val="both"/>
        <w:rPr>
          <w:lang w:val="ro-RO"/>
        </w:rPr>
      </w:pPr>
      <w:r w:rsidRPr="00136BBC">
        <w:rPr>
          <w:lang w:val="ro-RO"/>
        </w:rPr>
        <w:t xml:space="preserve">ţări terțe care nu sunt asociate Programului </w:t>
      </w:r>
      <w:r>
        <w:rPr>
          <w:lang w:val="ro-RO"/>
        </w:rPr>
        <w:t>Erasmus+, din regiunile 1 – 14 (</w:t>
      </w:r>
      <w:r w:rsidRPr="00136BBC">
        <w:rPr>
          <w:i/>
          <w:lang w:val="ro-RO"/>
        </w:rPr>
        <w:t>mobilităţile fiind finanţate prin dimensiunea internaţională a proiectelor anuale KA131-HED</w:t>
      </w:r>
      <w:r>
        <w:rPr>
          <w:i/>
          <w:lang w:val="ro-RO"/>
        </w:rPr>
        <w:t>).</w:t>
      </w:r>
    </w:p>
    <w:p w14:paraId="6C9D940C" w14:textId="4EB27902" w:rsidR="00712E83" w:rsidRPr="00464558" w:rsidRDefault="00712E83" w:rsidP="00806ED1">
      <w:pPr>
        <w:pStyle w:val="Default"/>
        <w:keepLines/>
        <w:widowControl w:val="0"/>
        <w:spacing w:before="240" w:after="240"/>
        <w:jc w:val="both"/>
        <w:rPr>
          <w:rFonts w:eastAsia="Times New Roman"/>
          <w:color w:val="auto"/>
          <w:spacing w:val="-3"/>
        </w:rPr>
      </w:pPr>
      <w:r w:rsidRPr="005F23EA">
        <w:rPr>
          <w:rFonts w:eastAsia="Times New Roman"/>
          <w:b/>
          <w:color w:val="auto"/>
          <w:spacing w:val="-3"/>
          <w:highlight w:val="cyan"/>
          <w:lang w:val="ro-RO"/>
        </w:rPr>
        <w:t>Numărul de locuri disponibile</w:t>
      </w:r>
      <w:r w:rsidRPr="00136BBC">
        <w:rPr>
          <w:rFonts w:eastAsia="Times New Roman"/>
          <w:color w:val="auto"/>
          <w:spacing w:val="-3"/>
          <w:lang w:val="ro-RO"/>
        </w:rPr>
        <w:t xml:space="preserve"> pentru mobilităţile de studiu şi de practică de scurtă durată </w:t>
      </w:r>
      <w:r w:rsidR="005F23EA" w:rsidRPr="001E7A05">
        <w:rPr>
          <w:i/>
          <w:lang w:val="ro-RO"/>
        </w:rPr>
        <w:t>finanţate prin proiect</w:t>
      </w:r>
      <w:r w:rsidR="005F23EA">
        <w:rPr>
          <w:i/>
          <w:lang w:val="ro-RO"/>
        </w:rPr>
        <w:t>ul</w:t>
      </w:r>
      <w:r w:rsidR="005F23EA" w:rsidRPr="001E7A05">
        <w:rPr>
          <w:i/>
          <w:lang w:val="ro-RO"/>
        </w:rPr>
        <w:t xml:space="preserve"> KA171-HED</w:t>
      </w:r>
      <w:r w:rsidR="005F23EA" w:rsidRPr="00136BBC">
        <w:rPr>
          <w:rFonts w:eastAsia="Times New Roman"/>
          <w:color w:val="auto"/>
          <w:spacing w:val="-3"/>
          <w:lang w:val="ro-RO"/>
        </w:rPr>
        <w:t xml:space="preserve"> </w:t>
      </w:r>
      <w:r w:rsidR="005F23EA">
        <w:rPr>
          <w:rFonts w:eastAsia="Times New Roman"/>
          <w:color w:val="auto"/>
          <w:spacing w:val="-3"/>
          <w:lang w:val="ro-RO"/>
        </w:rPr>
        <w:t>2022</w:t>
      </w:r>
      <w:r w:rsidRPr="00136BBC">
        <w:rPr>
          <w:rFonts w:eastAsia="Times New Roman"/>
          <w:color w:val="auto"/>
          <w:spacing w:val="-3"/>
          <w:lang w:val="ro-RO"/>
        </w:rPr>
        <w:t>:</w:t>
      </w:r>
    </w:p>
    <w:tbl>
      <w:tblPr>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5665"/>
      </w:tblGrid>
      <w:tr w:rsidR="00730302" w:rsidRPr="00136BBC" w14:paraId="6CDDEC77" w14:textId="77777777" w:rsidTr="00216500">
        <w:trPr>
          <w:trHeight w:val="546"/>
          <w:jc w:val="center"/>
        </w:trPr>
        <w:tc>
          <w:tcPr>
            <w:tcW w:w="2465" w:type="dxa"/>
            <w:shd w:val="clear" w:color="auto" w:fill="E2F3FE"/>
            <w:vAlign w:val="center"/>
          </w:tcPr>
          <w:p w14:paraId="744583D2" w14:textId="77777777" w:rsidR="00712E83" w:rsidRPr="00136BBC" w:rsidRDefault="00712E83" w:rsidP="00806ED1">
            <w:pPr>
              <w:pStyle w:val="ListParagraph"/>
              <w:keepLines/>
              <w:widowControl w:val="0"/>
              <w:ind w:left="0"/>
              <w:jc w:val="center"/>
              <w:rPr>
                <w:b/>
                <w:lang w:val="ro-RO"/>
              </w:rPr>
            </w:pPr>
            <w:r w:rsidRPr="00136BBC">
              <w:rPr>
                <w:b/>
                <w:lang w:val="ro-RO"/>
              </w:rPr>
              <w:t>Țara</w:t>
            </w:r>
          </w:p>
        </w:tc>
        <w:tc>
          <w:tcPr>
            <w:tcW w:w="5665" w:type="dxa"/>
            <w:shd w:val="clear" w:color="auto" w:fill="E2F3FE"/>
            <w:vAlign w:val="center"/>
          </w:tcPr>
          <w:p w14:paraId="29DF0C0C" w14:textId="77777777" w:rsidR="00712E83" w:rsidRPr="00136BBC" w:rsidRDefault="00712E83" w:rsidP="00806ED1">
            <w:pPr>
              <w:pStyle w:val="ListParagraph"/>
              <w:keepLines/>
              <w:widowControl w:val="0"/>
              <w:ind w:left="0"/>
              <w:jc w:val="center"/>
              <w:rPr>
                <w:b/>
                <w:lang w:val="ro-RO"/>
              </w:rPr>
            </w:pPr>
            <w:r w:rsidRPr="00136BBC">
              <w:rPr>
                <w:b/>
                <w:lang w:val="ro-RO"/>
              </w:rPr>
              <w:t>Nr. locuri disponibile</w:t>
            </w:r>
          </w:p>
        </w:tc>
      </w:tr>
      <w:tr w:rsidR="00730302" w:rsidRPr="00136BBC" w14:paraId="66D4D65D" w14:textId="77777777" w:rsidTr="00236515">
        <w:trPr>
          <w:trHeight w:hRule="exact" w:val="663"/>
          <w:jc w:val="center"/>
        </w:trPr>
        <w:tc>
          <w:tcPr>
            <w:tcW w:w="2465" w:type="dxa"/>
            <w:shd w:val="clear" w:color="auto" w:fill="auto"/>
            <w:vAlign w:val="center"/>
          </w:tcPr>
          <w:p w14:paraId="7A22A679" w14:textId="45295686" w:rsidR="00712E83" w:rsidRPr="00136BBC" w:rsidRDefault="003A26CE" w:rsidP="00C13890">
            <w:pPr>
              <w:pStyle w:val="ListParagraph"/>
              <w:keepLines/>
              <w:widowControl w:val="0"/>
              <w:ind w:left="0"/>
              <w:jc w:val="center"/>
              <w:rPr>
                <w:bCs/>
                <w:lang w:val="ro-RO"/>
              </w:rPr>
            </w:pPr>
            <w:r w:rsidRPr="00136BBC">
              <w:rPr>
                <w:bCs/>
                <w:lang w:val="ro-RO"/>
              </w:rPr>
              <w:t>Republica Moldova</w:t>
            </w:r>
          </w:p>
        </w:tc>
        <w:tc>
          <w:tcPr>
            <w:tcW w:w="5665" w:type="dxa"/>
            <w:shd w:val="clear" w:color="auto" w:fill="auto"/>
            <w:vAlign w:val="center"/>
          </w:tcPr>
          <w:p w14:paraId="21B70783" w14:textId="33D55BED" w:rsidR="00755DA5" w:rsidRPr="00136BBC" w:rsidRDefault="005F4E20" w:rsidP="00755DA5">
            <w:pPr>
              <w:pStyle w:val="ListParagraph"/>
              <w:keepLines/>
              <w:widowControl w:val="0"/>
              <w:ind w:left="0"/>
              <w:jc w:val="center"/>
              <w:rPr>
                <w:b/>
                <w:lang w:val="ro-RO"/>
              </w:rPr>
            </w:pPr>
            <w:r w:rsidRPr="00136BBC">
              <w:rPr>
                <w:b/>
                <w:lang w:val="ro-RO"/>
              </w:rPr>
              <w:t>4 mobilităţi studenţeşti</w:t>
            </w:r>
            <w:r w:rsidR="00755DA5" w:rsidRPr="00136BBC">
              <w:rPr>
                <w:b/>
                <w:lang w:val="ro-RO"/>
              </w:rPr>
              <w:t xml:space="preserve"> (Nivel Doctorat),</w:t>
            </w:r>
          </w:p>
          <w:p w14:paraId="1E596718" w14:textId="434DE585" w:rsidR="00712E83" w:rsidRPr="00136BBC" w:rsidRDefault="00755DA5" w:rsidP="00755DA5">
            <w:pPr>
              <w:pStyle w:val="ListParagraph"/>
              <w:keepLines/>
              <w:widowControl w:val="0"/>
              <w:ind w:left="0"/>
              <w:jc w:val="center"/>
              <w:rPr>
                <w:b/>
                <w:lang w:val="ro-RO"/>
              </w:rPr>
            </w:pPr>
            <w:r w:rsidRPr="00136BBC">
              <w:rPr>
                <w:b/>
                <w:lang w:val="ro-RO"/>
              </w:rPr>
              <w:t>de câte 5 zile fiecare</w:t>
            </w:r>
          </w:p>
        </w:tc>
      </w:tr>
    </w:tbl>
    <w:p w14:paraId="1E50F606" w14:textId="1B0B6311" w:rsidR="00712E83" w:rsidRDefault="00712E83" w:rsidP="005F23EA">
      <w:pPr>
        <w:pStyle w:val="Default"/>
        <w:keepLines/>
        <w:widowControl w:val="0"/>
        <w:spacing w:before="240" w:after="240"/>
        <w:jc w:val="both"/>
        <w:rPr>
          <w:rFonts w:eastAsia="Times New Roman"/>
          <w:color w:val="auto"/>
          <w:spacing w:val="-3"/>
          <w:lang w:val="ro-RO"/>
        </w:rPr>
      </w:pPr>
      <w:r w:rsidRPr="00136BBC">
        <w:rPr>
          <w:rFonts w:eastAsia="Times New Roman"/>
          <w:color w:val="auto"/>
          <w:spacing w:val="-3"/>
          <w:lang w:val="ro-RO"/>
        </w:rPr>
        <w:t xml:space="preserve">Numărul de locuri alocat poate fi redistribuit/suplimentat în funcţie de numărul de candidaturi depuse şi de fondurile disponibile. </w:t>
      </w:r>
    </w:p>
    <w:p w14:paraId="1EE44EDB" w14:textId="467E8E24" w:rsidR="005F23EA" w:rsidRPr="005F23EA" w:rsidRDefault="005F23EA" w:rsidP="005F23EA">
      <w:pPr>
        <w:pStyle w:val="Default"/>
        <w:keepLines/>
        <w:widowControl w:val="0"/>
        <w:spacing w:before="240" w:after="240"/>
        <w:jc w:val="both"/>
        <w:rPr>
          <w:rFonts w:eastAsia="Times New Roman"/>
          <w:color w:val="auto"/>
          <w:spacing w:val="-3"/>
          <w:lang w:val="ro-RO"/>
        </w:rPr>
      </w:pPr>
      <w:r w:rsidRPr="00136BBC">
        <w:rPr>
          <w:rFonts w:eastAsia="Times New Roman"/>
          <w:color w:val="auto"/>
          <w:spacing w:val="-3"/>
          <w:lang w:val="ro-RO"/>
        </w:rPr>
        <w:t>Numărul de</w:t>
      </w:r>
      <w:r>
        <w:rPr>
          <w:rFonts w:eastAsia="Times New Roman"/>
          <w:color w:val="auto"/>
          <w:spacing w:val="-3"/>
          <w:lang w:val="ro-RO"/>
        </w:rPr>
        <w:t xml:space="preserve"> mobilități care pot fi </w:t>
      </w:r>
      <w:r w:rsidRPr="00136BBC">
        <w:rPr>
          <w:i/>
          <w:lang w:val="ro-RO"/>
        </w:rPr>
        <w:t>finanţate prin dimensiunea internaţională a proiectelor KA131-HED</w:t>
      </w:r>
      <w:r>
        <w:rPr>
          <w:i/>
          <w:lang w:val="ro-RO"/>
        </w:rPr>
        <w:t xml:space="preserve"> </w:t>
      </w:r>
      <w:r>
        <w:rPr>
          <w:lang w:val="ro-RO"/>
        </w:rPr>
        <w:t>depinde de fondurile disponibile în cadrul proiectelor respective.</w:t>
      </w:r>
    </w:p>
    <w:p w14:paraId="1EED33BC" w14:textId="51D55A2F" w:rsidR="00E07138" w:rsidRDefault="00BE3CDC" w:rsidP="00B64B1C">
      <w:pPr>
        <w:pStyle w:val="Default"/>
        <w:keepLines/>
        <w:widowControl w:val="0"/>
        <w:spacing w:before="240" w:after="240"/>
        <w:jc w:val="both"/>
        <w:rPr>
          <w:lang w:val="ro-RO"/>
        </w:rPr>
      </w:pPr>
      <w:r w:rsidRPr="005F23EA">
        <w:rPr>
          <w:b/>
          <w:bCs/>
          <w:highlight w:val="cyan"/>
          <w:lang w:val="ro-RO"/>
        </w:rPr>
        <w:lastRenderedPageBreak/>
        <w:t>Durata mobilităților de scurtă durată (SMS/SMT)</w:t>
      </w:r>
      <w:r w:rsidRPr="00280375">
        <w:rPr>
          <w:b/>
          <w:bCs/>
          <w:highlight w:val="cyan"/>
          <w:lang w:val="ro-RO"/>
        </w:rPr>
        <w:t>:</w:t>
      </w:r>
      <w:r w:rsidRPr="00136BBC">
        <w:rPr>
          <w:b/>
          <w:bCs/>
          <w:lang w:val="ro-RO"/>
        </w:rPr>
        <w:t xml:space="preserve"> </w:t>
      </w:r>
      <w:r w:rsidRPr="00136BBC">
        <w:rPr>
          <w:lang w:val="ro-RO"/>
        </w:rPr>
        <w:t xml:space="preserve">între </w:t>
      </w:r>
      <w:r w:rsidRPr="00136BBC">
        <w:rPr>
          <w:b/>
          <w:bCs/>
          <w:lang w:val="ro-RO"/>
        </w:rPr>
        <w:t>5 și 30 zile de activitate în format fizic</w:t>
      </w:r>
      <w:r w:rsidRPr="00136BBC">
        <w:rPr>
          <w:lang w:val="ro-RO"/>
        </w:rPr>
        <w:t xml:space="preserve">, la care se adaugă o </w:t>
      </w:r>
      <w:r w:rsidRPr="00484420">
        <w:rPr>
          <w:b/>
          <w:lang w:val="ro-RO"/>
        </w:rPr>
        <w:t>componentă virtuală</w:t>
      </w:r>
      <w:r w:rsidRPr="00136BBC">
        <w:rPr>
          <w:b/>
          <w:lang w:val="ro-RO"/>
        </w:rPr>
        <w:t xml:space="preserve"> </w:t>
      </w:r>
      <w:r w:rsidRPr="00484420">
        <w:rPr>
          <w:lang w:val="ro-RO"/>
        </w:rPr>
        <w:t xml:space="preserve">(obligatorie pentru ciclurile de studiu </w:t>
      </w:r>
      <w:r w:rsidRPr="00484420">
        <w:rPr>
          <w:u w:val="single"/>
          <w:lang w:val="ro-RO"/>
        </w:rPr>
        <w:t xml:space="preserve">Licență </w:t>
      </w:r>
      <w:r w:rsidRPr="00484420">
        <w:rPr>
          <w:lang w:val="ro-RO"/>
        </w:rPr>
        <w:t xml:space="preserve">și </w:t>
      </w:r>
      <w:r w:rsidRPr="00484420">
        <w:rPr>
          <w:u w:val="single"/>
          <w:lang w:val="ro-RO"/>
        </w:rPr>
        <w:t>Master</w:t>
      </w:r>
      <w:r w:rsidRPr="00484420">
        <w:rPr>
          <w:lang w:val="ro-RO"/>
        </w:rPr>
        <w:t xml:space="preserve"> și opțională pentru ciclul de studiu Doctorat).</w:t>
      </w:r>
    </w:p>
    <w:p w14:paraId="0AA3F924" w14:textId="66A9E619" w:rsidR="003C7C66" w:rsidRPr="00136BBC" w:rsidRDefault="005F23EA" w:rsidP="00B64B1C">
      <w:pPr>
        <w:keepLines/>
        <w:widowControl w:val="0"/>
        <w:spacing w:before="240" w:after="120"/>
        <w:rPr>
          <w:b/>
          <w:bCs/>
          <w:u w:val="single"/>
          <w:lang w:val="ro-RO"/>
        </w:rPr>
      </w:pPr>
      <w:r w:rsidRPr="001D386D">
        <w:rPr>
          <w:b/>
          <w:bCs/>
          <w:highlight w:val="cyan"/>
          <w:lang w:val="ro-RO"/>
        </w:rPr>
        <w:t>Criterii de eligibilitate</w:t>
      </w:r>
      <w:r w:rsidR="003C7C66" w:rsidRPr="005F23EA">
        <w:rPr>
          <w:b/>
          <w:bCs/>
          <w:highlight w:val="cyan"/>
          <w:lang w:val="ro-RO"/>
        </w:rPr>
        <w:t>:</w:t>
      </w:r>
    </w:p>
    <w:p w14:paraId="4F8DC121" w14:textId="77777777" w:rsidR="003C7C66" w:rsidRPr="00136BBC" w:rsidRDefault="003C7C66" w:rsidP="00806ED1">
      <w:pPr>
        <w:keepLines/>
        <w:widowControl w:val="0"/>
        <w:jc w:val="both"/>
        <w:rPr>
          <w:lang w:val="ro-RO"/>
        </w:rPr>
      </w:pPr>
      <w:r w:rsidRPr="00136BBC">
        <w:rPr>
          <w:lang w:val="ro-RO"/>
        </w:rPr>
        <w:t>Se pot înscrie la selecție:</w:t>
      </w:r>
    </w:p>
    <w:p w14:paraId="0C36F5F1" w14:textId="77777777" w:rsidR="003C7C66" w:rsidRPr="00136BBC" w:rsidRDefault="003C7C66" w:rsidP="00806ED1">
      <w:pPr>
        <w:pStyle w:val="ListParagraph"/>
        <w:keepLines/>
        <w:widowControl w:val="0"/>
        <w:numPr>
          <w:ilvl w:val="2"/>
          <w:numId w:val="3"/>
        </w:numPr>
        <w:ind w:left="360"/>
        <w:jc w:val="both"/>
        <w:rPr>
          <w:lang w:val="ro-RO"/>
        </w:rPr>
      </w:pPr>
      <w:r w:rsidRPr="00136BBC">
        <w:rPr>
          <w:lang w:val="ro-RO"/>
        </w:rPr>
        <w:t xml:space="preserve">Studenții înmatriculați la Universitatea "Alexandru Ioan Cuza" din Iași, </w:t>
      </w:r>
      <w:r w:rsidR="001C53DB" w:rsidRPr="00136BBC">
        <w:rPr>
          <w:lang w:val="ro-RO"/>
        </w:rPr>
        <w:t>în orice an și la orice nivel de studiu, cetățeni români sau</w:t>
      </w:r>
      <w:r w:rsidRPr="00136BBC">
        <w:rPr>
          <w:lang w:val="ro-RO"/>
        </w:rPr>
        <w:t xml:space="preserve"> cetățeni ai altor state;</w:t>
      </w:r>
      <w:bookmarkStart w:id="0" w:name="page5"/>
      <w:bookmarkEnd w:id="0"/>
    </w:p>
    <w:p w14:paraId="3385E80E" w14:textId="77777777" w:rsidR="009D0F67" w:rsidRPr="00136BBC" w:rsidRDefault="001C53DB" w:rsidP="00806ED1">
      <w:pPr>
        <w:pStyle w:val="ListParagraph"/>
        <w:keepLines/>
        <w:widowControl w:val="0"/>
        <w:numPr>
          <w:ilvl w:val="2"/>
          <w:numId w:val="3"/>
        </w:numPr>
        <w:ind w:left="360"/>
        <w:jc w:val="both"/>
        <w:rPr>
          <w:lang w:val="ro-RO"/>
        </w:rPr>
      </w:pPr>
      <w:r w:rsidRPr="00136BBC">
        <w:rPr>
          <w:lang w:val="ro-RO"/>
        </w:rPr>
        <w:t>Studenții care au beneficiat de mobilități în cadrul Programelor Socrates / LLP-Erasmus</w:t>
      </w:r>
      <w:r w:rsidR="00984B6E" w:rsidRPr="00136BBC">
        <w:rPr>
          <w:lang w:val="ro-RO"/>
        </w:rPr>
        <w:t xml:space="preserve"> </w:t>
      </w:r>
      <w:r w:rsidRPr="00136BBC">
        <w:rPr>
          <w:lang w:val="ro-RO"/>
        </w:rPr>
        <w:t xml:space="preserve">/ Erasmus+) pot beneficia de noi mobilități numai </w:t>
      </w:r>
      <w:r w:rsidR="003C7C66" w:rsidRPr="00136BBC">
        <w:rPr>
          <w:lang w:val="ro-RO"/>
        </w:rPr>
        <w:t xml:space="preserve">cu condiția ca durata totală a </w:t>
      </w:r>
      <w:r w:rsidR="00385D47" w:rsidRPr="00136BBC">
        <w:rPr>
          <w:lang w:val="ro-RO"/>
        </w:rPr>
        <w:t>acestora</w:t>
      </w:r>
      <w:r w:rsidR="003C7C66" w:rsidRPr="00136BBC">
        <w:rPr>
          <w:lang w:val="ro-RO"/>
        </w:rPr>
        <w:t xml:space="preserve"> să nu depășească 12 luni/</w:t>
      </w:r>
      <w:r w:rsidR="00385D47" w:rsidRPr="00136BBC">
        <w:rPr>
          <w:lang w:val="ro-RO"/>
        </w:rPr>
        <w:t xml:space="preserve"> </w:t>
      </w:r>
      <w:r w:rsidR="003C7C66" w:rsidRPr="00136BBC">
        <w:rPr>
          <w:lang w:val="ro-RO"/>
        </w:rPr>
        <w:t xml:space="preserve">ciclu de studiu; </w:t>
      </w:r>
    </w:p>
    <w:p w14:paraId="33244232" w14:textId="77777777" w:rsidR="003C7C66" w:rsidRPr="00136BBC" w:rsidRDefault="009D0F67" w:rsidP="00806ED1">
      <w:pPr>
        <w:pStyle w:val="ListParagraph"/>
        <w:keepLines/>
        <w:widowControl w:val="0"/>
        <w:numPr>
          <w:ilvl w:val="2"/>
          <w:numId w:val="3"/>
        </w:numPr>
        <w:ind w:left="360"/>
        <w:jc w:val="both"/>
        <w:rPr>
          <w:lang w:val="ro-RO"/>
        </w:rPr>
      </w:pPr>
      <w:r w:rsidRPr="00136BBC">
        <w:rPr>
          <w:b/>
          <w:u w:val="single"/>
          <w:lang w:val="ro-RO"/>
        </w:rPr>
        <w:t>N</w:t>
      </w:r>
      <w:r w:rsidR="00385D47" w:rsidRPr="00136BBC">
        <w:rPr>
          <w:b/>
          <w:u w:val="single"/>
          <w:lang w:val="ro-RO"/>
        </w:rPr>
        <w:t>umai pentru mobilități</w:t>
      </w:r>
      <w:r w:rsidRPr="00136BBC">
        <w:rPr>
          <w:b/>
          <w:u w:val="single"/>
          <w:lang w:val="ro-RO"/>
        </w:rPr>
        <w:t>le</w:t>
      </w:r>
      <w:r w:rsidR="00385D47" w:rsidRPr="00136BBC">
        <w:rPr>
          <w:b/>
          <w:u w:val="single"/>
          <w:lang w:val="ro-RO"/>
        </w:rPr>
        <w:t xml:space="preserve"> de practică</w:t>
      </w:r>
      <w:r w:rsidR="00385D47" w:rsidRPr="00136BBC">
        <w:rPr>
          <w:b/>
          <w:lang w:val="ro-RO"/>
        </w:rPr>
        <w:t>:</w:t>
      </w:r>
      <w:r w:rsidR="00385D47" w:rsidRPr="00136BBC">
        <w:rPr>
          <w:lang w:val="ro-RO"/>
        </w:rPr>
        <w:t xml:space="preserve"> s</w:t>
      </w:r>
      <w:r w:rsidR="003C7C66" w:rsidRPr="00136BBC">
        <w:rPr>
          <w:lang w:val="ro-RO"/>
        </w:rPr>
        <w:t xml:space="preserve">tudenții și doctoranzii din anii terminali </w:t>
      </w:r>
      <w:r w:rsidR="00385D47" w:rsidRPr="00136BBC">
        <w:rPr>
          <w:lang w:val="ro-RO"/>
        </w:rPr>
        <w:t xml:space="preserve">pot participa la </w:t>
      </w:r>
      <w:r w:rsidR="003C7C66" w:rsidRPr="00136BBC">
        <w:rPr>
          <w:lang w:val="ro-RO"/>
        </w:rPr>
        <w:t>selecț</w:t>
      </w:r>
      <w:r w:rsidR="00385D47" w:rsidRPr="00136BBC">
        <w:rPr>
          <w:lang w:val="ro-RO"/>
        </w:rPr>
        <w:t>i</w:t>
      </w:r>
      <w:r w:rsidR="003C7C66" w:rsidRPr="00136BBC">
        <w:rPr>
          <w:lang w:val="ro-RO"/>
        </w:rPr>
        <w:t>i până la data</w:t>
      </w:r>
      <w:r w:rsidR="00A55754" w:rsidRPr="00136BBC">
        <w:rPr>
          <w:lang w:val="ro-RO"/>
        </w:rPr>
        <w:t xml:space="preserve"> </w:t>
      </w:r>
      <w:r w:rsidR="003C7C66" w:rsidRPr="00136BBC">
        <w:rPr>
          <w:lang w:val="ro-RO"/>
        </w:rPr>
        <w:t>încheierii</w:t>
      </w:r>
      <w:r w:rsidR="00385D47" w:rsidRPr="00136BBC">
        <w:rPr>
          <w:lang w:val="ro-RO"/>
        </w:rPr>
        <w:t xml:space="preserve"> sesiunii de evaluare</w:t>
      </w:r>
      <w:r w:rsidR="003C7C66" w:rsidRPr="00136BBC">
        <w:rPr>
          <w:lang w:val="ro-RO"/>
        </w:rPr>
        <w:t xml:space="preserve"> din semestrul al II-lea al anului terminal, respectiv până la data susținerii publice a tezei de doctorat, pentru stagii care au loc</w:t>
      </w:r>
      <w:r w:rsidR="00385D47" w:rsidRPr="00136BBC">
        <w:rPr>
          <w:lang w:val="ro-RO"/>
        </w:rPr>
        <w:t xml:space="preserve"> în primul an de după absolvire; aceștia vor avea </w:t>
      </w:r>
      <w:r w:rsidR="003C7C66" w:rsidRPr="00136BBC">
        <w:rPr>
          <w:lang w:val="ro-RO"/>
        </w:rPr>
        <w:t>stat</w:t>
      </w:r>
      <w:r w:rsidR="00385D47" w:rsidRPr="00136BBC">
        <w:rPr>
          <w:lang w:val="ro-RO"/>
        </w:rPr>
        <w:t>ut de “selectat condiționat” și vor deve</w:t>
      </w:r>
      <w:r w:rsidR="003C7C66" w:rsidRPr="00136BBC">
        <w:rPr>
          <w:lang w:val="ro-RO"/>
        </w:rPr>
        <w:t>n</w:t>
      </w:r>
      <w:r w:rsidR="00385D47" w:rsidRPr="00136BBC">
        <w:rPr>
          <w:lang w:val="ro-RO"/>
        </w:rPr>
        <w:t>i</w:t>
      </w:r>
      <w:r w:rsidR="003C7C66" w:rsidRPr="00136BBC">
        <w:rPr>
          <w:lang w:val="ro-RO"/>
        </w:rPr>
        <w:t xml:space="preserve"> “titulari” în momentul în care pot face dovada statutului de absolvent prin prezentarea unei adeverințe eliberate de facultate, respectiv a unei  adeverințe eliberate de Secretariatul Școlii Doctorale unde a fost înmatriculat sau de Biroul pentru Studiile Universitare de Doctorat. Aceste mobilități se pot e</w:t>
      </w:r>
      <w:r w:rsidR="00385D47" w:rsidRPr="00136BBC">
        <w:rPr>
          <w:lang w:val="ro-RO"/>
        </w:rPr>
        <w:t>fectua și finaliza în termen de</w:t>
      </w:r>
      <w:r w:rsidR="003C7C66" w:rsidRPr="00136BBC">
        <w:rPr>
          <w:lang w:val="ro-RO"/>
        </w:rPr>
        <w:t xml:space="preserve"> un an de la absolvire</w:t>
      </w:r>
      <w:r w:rsidR="00385D47" w:rsidRPr="00136BBC">
        <w:rPr>
          <w:lang w:val="ro-RO"/>
        </w:rPr>
        <w:t>.</w:t>
      </w:r>
    </w:p>
    <w:p w14:paraId="110C3B3A" w14:textId="77777777" w:rsidR="006A2E4B" w:rsidRPr="00136BBC" w:rsidRDefault="006A2E4B" w:rsidP="00806ED1">
      <w:pPr>
        <w:pStyle w:val="ListParagraph"/>
        <w:keepLines/>
        <w:widowControl w:val="0"/>
        <w:tabs>
          <w:tab w:val="left" w:pos="1800"/>
        </w:tabs>
        <w:ind w:left="0"/>
        <w:jc w:val="both"/>
        <w:rPr>
          <w:lang w:val="ro-RO"/>
        </w:rPr>
      </w:pPr>
    </w:p>
    <w:p w14:paraId="1D48E95A" w14:textId="77777777" w:rsidR="003C7C66" w:rsidRPr="002D2DA4" w:rsidRDefault="003C7C66" w:rsidP="00806ED1">
      <w:pPr>
        <w:pStyle w:val="ListParagraph"/>
        <w:keepLines/>
        <w:widowControl w:val="0"/>
        <w:tabs>
          <w:tab w:val="left" w:pos="1800"/>
        </w:tabs>
        <w:ind w:left="0"/>
        <w:jc w:val="both"/>
        <w:rPr>
          <w:lang w:val="ro-RO"/>
        </w:rPr>
      </w:pPr>
      <w:r w:rsidRPr="002D2DA4">
        <w:rPr>
          <w:lang w:val="ro-RO"/>
        </w:rPr>
        <w:t>Un student poate beneficia de mobilități de studiu și</w:t>
      </w:r>
      <w:r w:rsidR="005326D7" w:rsidRPr="002D2DA4">
        <w:rPr>
          <w:lang w:val="ro-RO"/>
        </w:rPr>
        <w:t>/sau</w:t>
      </w:r>
      <w:r w:rsidRPr="002D2DA4">
        <w:rPr>
          <w:lang w:val="ro-RO"/>
        </w:rPr>
        <w:t xml:space="preserve"> de practică Erasmus+ la fiecare nivel de studiu (licență, master, doctorat), însumând </w:t>
      </w:r>
      <w:r w:rsidRPr="0041263E">
        <w:rPr>
          <w:b/>
          <w:lang w:val="ro-RO"/>
        </w:rPr>
        <w:t>maximum 12 luni de mobilitate (studiu + practică) per nivel</w:t>
      </w:r>
      <w:r w:rsidRPr="002D2DA4">
        <w:rPr>
          <w:lang w:val="ro-RO"/>
        </w:rPr>
        <w:t>.</w:t>
      </w:r>
    </w:p>
    <w:p w14:paraId="112CEDE7" w14:textId="77777777" w:rsidR="003C7C66" w:rsidRPr="00136BBC" w:rsidRDefault="003C7C66" w:rsidP="00806ED1">
      <w:pPr>
        <w:keepLines/>
        <w:widowControl w:val="0"/>
        <w:rPr>
          <w:color w:val="1F4E79"/>
          <w:lang w:val="ro-RO"/>
        </w:rPr>
      </w:pPr>
    </w:p>
    <w:p w14:paraId="03AF5FFC" w14:textId="77777777" w:rsidR="003C7C66" w:rsidRPr="00136BBC" w:rsidRDefault="003C7C66" w:rsidP="00B64B1C">
      <w:pPr>
        <w:keepLines/>
        <w:widowControl w:val="0"/>
        <w:spacing w:after="120"/>
        <w:jc w:val="both"/>
        <w:rPr>
          <w:b/>
          <w:bCs/>
          <w:color w:val="1F4E79"/>
          <w:lang w:val="ro-RO"/>
        </w:rPr>
      </w:pPr>
      <w:r w:rsidRPr="001D386D">
        <w:rPr>
          <w:b/>
          <w:bCs/>
          <w:highlight w:val="cyan"/>
          <w:lang w:val="ro-RO"/>
        </w:rPr>
        <w:t>Documente necesare la dosarul de candidatură</w:t>
      </w:r>
      <w:r w:rsidRPr="001D386D">
        <w:rPr>
          <w:b/>
          <w:bCs/>
          <w:color w:val="1F4E79"/>
          <w:highlight w:val="cyan"/>
          <w:lang w:val="ro-RO"/>
        </w:rPr>
        <w:t>:</w:t>
      </w:r>
    </w:p>
    <w:p w14:paraId="363B2860" w14:textId="77777777" w:rsidR="003C7C66" w:rsidRPr="00136BBC" w:rsidRDefault="003C7C66" w:rsidP="00806ED1">
      <w:pPr>
        <w:pStyle w:val="ListParagraph"/>
        <w:keepLines/>
        <w:widowControl w:val="0"/>
        <w:numPr>
          <w:ilvl w:val="2"/>
          <w:numId w:val="15"/>
        </w:numPr>
        <w:ind w:left="714" w:hanging="357"/>
        <w:jc w:val="both"/>
        <w:rPr>
          <w:lang w:val="ro-RO"/>
        </w:rPr>
      </w:pPr>
      <w:r w:rsidRPr="00136BBC">
        <w:rPr>
          <w:lang w:val="ro-RO"/>
        </w:rPr>
        <w:t xml:space="preserve">Curriculum Vitae; </w:t>
      </w:r>
    </w:p>
    <w:p w14:paraId="1688AB8A" w14:textId="77777777" w:rsidR="003C7C66" w:rsidRPr="00136BBC" w:rsidRDefault="003C7C66" w:rsidP="00806ED1">
      <w:pPr>
        <w:pStyle w:val="ListParagraph"/>
        <w:keepLines/>
        <w:widowControl w:val="0"/>
        <w:numPr>
          <w:ilvl w:val="2"/>
          <w:numId w:val="15"/>
        </w:numPr>
        <w:ind w:left="714" w:hanging="357"/>
        <w:jc w:val="both"/>
        <w:rPr>
          <w:lang w:val="ro-RO"/>
        </w:rPr>
      </w:pPr>
      <w:r w:rsidRPr="00136BBC">
        <w:rPr>
          <w:lang w:val="ro-RO"/>
        </w:rPr>
        <w:t>Scrisoare de motivație (</w:t>
      </w:r>
      <w:r w:rsidR="00385D47" w:rsidRPr="00136BBC">
        <w:rPr>
          <w:lang w:val="ro-RO"/>
        </w:rPr>
        <w:t xml:space="preserve">maximum </w:t>
      </w:r>
      <w:r w:rsidRPr="00136BBC">
        <w:rPr>
          <w:lang w:val="ro-RO"/>
        </w:rPr>
        <w:t xml:space="preserve">1 pagină); </w:t>
      </w:r>
    </w:p>
    <w:p w14:paraId="14299D9C" w14:textId="1EBD01FB" w:rsidR="003C7C66" w:rsidRPr="00136BBC" w:rsidRDefault="00077E27" w:rsidP="00806ED1">
      <w:pPr>
        <w:pStyle w:val="ListParagraph"/>
        <w:keepLines/>
        <w:widowControl w:val="0"/>
        <w:numPr>
          <w:ilvl w:val="2"/>
          <w:numId w:val="15"/>
        </w:numPr>
        <w:ind w:left="714" w:hanging="357"/>
        <w:jc w:val="both"/>
        <w:rPr>
          <w:lang w:val="ro-RO"/>
        </w:rPr>
      </w:pPr>
      <w:r>
        <w:rPr>
          <w:noProof/>
          <w:lang w:val="ro-RO"/>
        </w:rPr>
        <w:t>Document</w:t>
      </w:r>
      <w:r w:rsidRPr="009F1287">
        <w:rPr>
          <w:noProof/>
          <w:lang w:val="ro-RO"/>
        </w:rPr>
        <w:t xml:space="preserve"> care atestă limba </w:t>
      </w:r>
      <w:r w:rsidRPr="009F1287">
        <w:rPr>
          <w:noProof/>
          <w:lang w:val="ro-RO" w:eastAsia="ro-RO"/>
        </w:rPr>
        <w:t>de lucru de la instituția gazdă</w:t>
      </w:r>
      <w:r w:rsidR="00732785">
        <w:rPr>
          <w:noProof/>
          <w:lang w:val="ro-RO" w:eastAsia="ro-RO"/>
        </w:rPr>
        <w:t xml:space="preserve"> </w:t>
      </w:r>
      <w:r w:rsidR="00732785" w:rsidRPr="00136BBC">
        <w:rPr>
          <w:lang w:val="ro-RO"/>
        </w:rPr>
        <w:t xml:space="preserve"> (va rămâne în copie la dosarul de selecție al studentului)</w:t>
      </w:r>
      <w:r>
        <w:rPr>
          <w:noProof/>
          <w:lang w:val="ro-RO"/>
        </w:rPr>
        <w:t xml:space="preserve">: </w:t>
      </w:r>
      <w:r>
        <w:rPr>
          <w:lang w:val="ro-RO"/>
        </w:rPr>
        <w:t xml:space="preserve">atestat </w:t>
      </w:r>
      <w:r w:rsidRPr="009F1287">
        <w:rPr>
          <w:noProof/>
          <w:lang w:val="ro-RO" w:eastAsia="ro-RO"/>
        </w:rPr>
        <w:t>lingvistic</w:t>
      </w:r>
      <w:r>
        <w:rPr>
          <w:rStyle w:val="FootnoteReference"/>
          <w:noProof/>
          <w:lang w:val="ro-RO" w:eastAsia="ro-RO"/>
        </w:rPr>
        <w:footnoteReference w:id="5"/>
      </w:r>
      <w:r w:rsidR="00732785">
        <w:rPr>
          <w:noProof/>
          <w:lang w:val="ro-RO" w:eastAsia="ro-RO"/>
        </w:rPr>
        <w:t xml:space="preserve"> </w:t>
      </w:r>
      <w:r w:rsidR="003C7C66" w:rsidRPr="00136BBC">
        <w:rPr>
          <w:lang w:val="ro-RO"/>
        </w:rPr>
        <w:t>/ foaia matricolă din liceu</w:t>
      </w:r>
      <w:r w:rsidR="00984B6E" w:rsidRPr="00136BBC">
        <w:rPr>
          <w:lang w:val="ro-RO"/>
        </w:rPr>
        <w:t xml:space="preserve"> </w:t>
      </w:r>
      <w:r w:rsidR="001C3FE0">
        <w:rPr>
          <w:lang w:val="ro-RO"/>
        </w:rPr>
        <w:t>(</w:t>
      </w:r>
      <w:r w:rsidR="001C3FE0" w:rsidRPr="00E369C2">
        <w:rPr>
          <w:spacing w:val="-3"/>
          <w:lang w:val="ro-RO"/>
        </w:rPr>
        <w:t>pentru candidații care au studiat o limbă străină în timpul anilor de liceu</w:t>
      </w:r>
      <w:r w:rsidR="001C3FE0">
        <w:rPr>
          <w:lang w:val="ro-RO"/>
        </w:rPr>
        <w:t xml:space="preserve">) </w:t>
      </w:r>
      <w:r w:rsidR="00732785">
        <w:rPr>
          <w:lang w:val="ro-RO"/>
        </w:rPr>
        <w:t>/ certificat</w:t>
      </w:r>
      <w:r w:rsidR="003C7C66" w:rsidRPr="00136BBC">
        <w:rPr>
          <w:lang w:val="ro-RO"/>
        </w:rPr>
        <w:t xml:space="preserve"> de competențe lingvistice obținut la examenul de Bacalaureat </w:t>
      </w:r>
      <w:r w:rsidR="00984B6E" w:rsidRPr="00136BBC">
        <w:rPr>
          <w:lang w:val="ro-RO"/>
        </w:rPr>
        <w:t xml:space="preserve">/ </w:t>
      </w:r>
      <w:r w:rsidR="00B967E1" w:rsidRPr="008C1482">
        <w:rPr>
          <w:spacing w:val="-3"/>
          <w:lang w:val="ro-RO"/>
        </w:rPr>
        <w:t>foaia matricolă aferentă studiilor universitare, în cazul studenților care au limba de studiu de</w:t>
      </w:r>
      <w:r w:rsidR="00B967E1" w:rsidRPr="00ED1576">
        <w:rPr>
          <w:spacing w:val="-3"/>
          <w:lang w:val="ro-RO"/>
        </w:rPr>
        <w:t xml:space="preserve"> la universitatea parteneră ca specializare în cadrul studiilor universitare</w:t>
      </w:r>
      <w:r w:rsidR="00B967E1">
        <w:rPr>
          <w:spacing w:val="-3"/>
          <w:lang w:val="ro-RO"/>
        </w:rPr>
        <w:t xml:space="preserve"> sau în cazul </w:t>
      </w:r>
      <w:r w:rsidR="00B967E1" w:rsidRPr="001407DF">
        <w:rPr>
          <w:spacing w:val="-3"/>
          <w:lang w:val="ro-RO"/>
        </w:rPr>
        <w:t>studenților</w:t>
      </w:r>
      <w:r w:rsidR="00B967E1" w:rsidRPr="001407DF">
        <w:rPr>
          <w:lang w:val="ro-RO"/>
        </w:rPr>
        <w:t xml:space="preserve"> înmatriculaţi la programe de studii cu predare în limba de studiu de la universitatea gazdă</w:t>
      </w:r>
      <w:r w:rsidR="00732785">
        <w:rPr>
          <w:lang w:val="ro-RO"/>
        </w:rPr>
        <w:t>;</w:t>
      </w:r>
    </w:p>
    <w:p w14:paraId="1B90204C" w14:textId="77777777" w:rsidR="003C7C66" w:rsidRPr="00136BBC" w:rsidRDefault="003C7C66" w:rsidP="00806ED1">
      <w:pPr>
        <w:pStyle w:val="ListParagraph"/>
        <w:keepLines/>
        <w:widowControl w:val="0"/>
        <w:numPr>
          <w:ilvl w:val="2"/>
          <w:numId w:val="15"/>
        </w:numPr>
        <w:ind w:left="714" w:hanging="357"/>
        <w:jc w:val="both"/>
        <w:rPr>
          <w:lang w:val="ro-RO"/>
        </w:rPr>
      </w:pPr>
      <w:r w:rsidRPr="00136BBC">
        <w:rPr>
          <w:lang w:val="ro-RO"/>
        </w:rPr>
        <w:t>Scrisoarea de invitație din partea universității / instituției gazdă unde se va</w:t>
      </w:r>
      <w:r w:rsidR="00385D47" w:rsidRPr="00136BBC">
        <w:rPr>
          <w:lang w:val="ro-RO"/>
        </w:rPr>
        <w:t xml:space="preserve"> desfășura </w:t>
      </w:r>
      <w:r w:rsidRPr="00136BBC">
        <w:rPr>
          <w:lang w:val="ro-RO"/>
        </w:rPr>
        <w:t xml:space="preserve">mobilitatea </w:t>
      </w:r>
      <w:r w:rsidR="00385D47" w:rsidRPr="00136BBC">
        <w:rPr>
          <w:lang w:val="ro-RO"/>
        </w:rPr>
        <w:t>(se acceptă</w:t>
      </w:r>
      <w:r w:rsidRPr="00136BBC">
        <w:rPr>
          <w:lang w:val="ro-RO"/>
        </w:rPr>
        <w:t xml:space="preserve"> o copie scanată transmisă prin email).</w:t>
      </w:r>
    </w:p>
    <w:p w14:paraId="0333C70D" w14:textId="77777777" w:rsidR="003C7C66" w:rsidRPr="00136BBC" w:rsidRDefault="003C7C66" w:rsidP="00806ED1">
      <w:pPr>
        <w:keepLines/>
        <w:widowControl w:val="0"/>
        <w:pBdr>
          <w:top w:val="nil"/>
          <w:left w:val="nil"/>
          <w:bottom w:val="nil"/>
          <w:right w:val="nil"/>
          <w:between w:val="nil"/>
        </w:pBdr>
        <w:jc w:val="both"/>
        <w:rPr>
          <w:color w:val="1F4E79"/>
          <w:lang w:val="ro-RO"/>
        </w:rPr>
      </w:pPr>
    </w:p>
    <w:p w14:paraId="7467DD1D" w14:textId="77777777" w:rsidR="003C7C66" w:rsidRPr="00136BBC" w:rsidRDefault="00385D47" w:rsidP="00806ED1">
      <w:pPr>
        <w:keepLines/>
        <w:widowControl w:val="0"/>
        <w:pBdr>
          <w:top w:val="nil"/>
          <w:left w:val="nil"/>
          <w:bottom w:val="nil"/>
          <w:right w:val="nil"/>
          <w:between w:val="nil"/>
        </w:pBdr>
        <w:jc w:val="both"/>
        <w:rPr>
          <w:lang w:val="ro-RO"/>
        </w:rPr>
      </w:pPr>
      <w:r w:rsidRPr="00136BBC">
        <w:rPr>
          <w:lang w:val="ro-RO"/>
        </w:rPr>
        <w:t>CV-ul</w:t>
      </w:r>
      <w:r w:rsidR="003C7C66" w:rsidRPr="00136BBC">
        <w:rPr>
          <w:lang w:val="ro-RO"/>
        </w:rPr>
        <w:t xml:space="preserve"> și Scrisoarea de motivație vor fi prezentate în limba română și în limba de </w:t>
      </w:r>
      <w:r w:rsidR="00984B6E" w:rsidRPr="00136BBC">
        <w:rPr>
          <w:lang w:val="ro-RO"/>
        </w:rPr>
        <w:t>studiu a cursurilor, respectiv</w:t>
      </w:r>
      <w:r w:rsidR="005326D7" w:rsidRPr="00136BBC">
        <w:rPr>
          <w:lang w:val="ro-RO"/>
        </w:rPr>
        <w:t xml:space="preserve"> limba</w:t>
      </w:r>
      <w:r w:rsidR="00984B6E" w:rsidRPr="00136BBC">
        <w:rPr>
          <w:lang w:val="ro-RO"/>
        </w:rPr>
        <w:t xml:space="preserve"> de lucru a activităților </w:t>
      </w:r>
      <w:r w:rsidRPr="00136BBC">
        <w:rPr>
          <w:lang w:val="ro-RO"/>
        </w:rPr>
        <w:t>desfășurate în mobilitate</w:t>
      </w:r>
      <w:r w:rsidR="003C7C66" w:rsidRPr="00136BBC">
        <w:rPr>
          <w:lang w:val="ro-RO"/>
        </w:rPr>
        <w:t xml:space="preserve">. </w:t>
      </w:r>
    </w:p>
    <w:p w14:paraId="7AD9D14B" w14:textId="77777777" w:rsidR="003C7C66" w:rsidRPr="00136BBC" w:rsidRDefault="003C7C66" w:rsidP="00B64B1C">
      <w:pPr>
        <w:keepLines/>
        <w:widowControl w:val="0"/>
        <w:spacing w:before="120" w:after="120"/>
        <w:rPr>
          <w:b/>
          <w:bCs/>
          <w:lang w:val="ro-RO"/>
        </w:rPr>
      </w:pPr>
      <w:r w:rsidRPr="00136BBC">
        <w:rPr>
          <w:b/>
          <w:bCs/>
          <w:lang w:val="ro-RO"/>
        </w:rPr>
        <w:t>Documente suplimentare, pentru studenții care nu au cetățenia unui stat membru UE:</w:t>
      </w:r>
    </w:p>
    <w:p w14:paraId="3F71ADC5" w14:textId="77777777" w:rsidR="003C7C66" w:rsidRPr="00136BBC" w:rsidRDefault="003C7C66" w:rsidP="00806ED1">
      <w:pPr>
        <w:keepLines/>
        <w:widowControl w:val="0"/>
        <w:numPr>
          <w:ilvl w:val="2"/>
          <w:numId w:val="15"/>
        </w:numPr>
        <w:overflowPunct w:val="0"/>
        <w:autoSpaceDE w:val="0"/>
        <w:autoSpaceDN w:val="0"/>
        <w:adjustRightInd w:val="0"/>
        <w:spacing w:line="276" w:lineRule="auto"/>
        <w:jc w:val="both"/>
        <w:rPr>
          <w:lang w:val="ro-RO"/>
        </w:rPr>
      </w:pPr>
      <w:r w:rsidRPr="00136BBC">
        <w:rPr>
          <w:lang w:val="ro-RO"/>
        </w:rPr>
        <w:t>copie a permisului de ședere</w:t>
      </w:r>
      <w:r w:rsidR="00385D47" w:rsidRPr="00136BBC">
        <w:rPr>
          <w:lang w:val="ro-RO"/>
        </w:rPr>
        <w:t xml:space="preserve"> pe teritoriul României</w:t>
      </w:r>
      <w:r w:rsidRPr="00136BBC">
        <w:rPr>
          <w:lang w:val="ro-RO"/>
        </w:rPr>
        <w:t>; excepție de la această cerință fac studenții înmatriculați la UAIC – Extensiunea Bălți</w:t>
      </w:r>
      <w:r w:rsidR="00385D47" w:rsidRPr="00136BBC">
        <w:rPr>
          <w:lang w:val="ro-RO"/>
        </w:rPr>
        <w:t xml:space="preserve">/ </w:t>
      </w:r>
      <w:r w:rsidRPr="00136BBC">
        <w:rPr>
          <w:lang w:val="ro-RO"/>
        </w:rPr>
        <w:t>Chișinău</w:t>
      </w:r>
      <w:r w:rsidR="00A55754" w:rsidRPr="00136BBC">
        <w:rPr>
          <w:lang w:val="ro-RO"/>
        </w:rPr>
        <w:t>.</w:t>
      </w:r>
    </w:p>
    <w:p w14:paraId="3683EDFE" w14:textId="77777777" w:rsidR="00A55754" w:rsidRPr="00136BBC" w:rsidRDefault="00A55754" w:rsidP="00806ED1">
      <w:pPr>
        <w:keepLines/>
        <w:widowControl w:val="0"/>
        <w:rPr>
          <w:b/>
          <w:i/>
          <w:lang w:val="ro-RO"/>
        </w:rPr>
      </w:pPr>
      <w:r w:rsidRPr="00136BBC">
        <w:rPr>
          <w:b/>
          <w:i/>
          <w:lang w:val="ro-RO"/>
        </w:rPr>
        <w:lastRenderedPageBreak/>
        <w:t>Dosarele incomplete vor fi declarate respinse.</w:t>
      </w:r>
    </w:p>
    <w:p w14:paraId="7E4DE9DC" w14:textId="77777777" w:rsidR="00A55754" w:rsidRPr="00136BBC" w:rsidRDefault="00A55754" w:rsidP="00806ED1">
      <w:pPr>
        <w:pStyle w:val="ListParagraph"/>
        <w:keepLines/>
        <w:widowControl w:val="0"/>
        <w:rPr>
          <w:b/>
          <w:i/>
          <w:lang w:val="ro-RO"/>
        </w:rPr>
      </w:pPr>
    </w:p>
    <w:p w14:paraId="0E118CCB" w14:textId="77777777" w:rsidR="00A55754" w:rsidRPr="00136BBC" w:rsidRDefault="00A55754" w:rsidP="00806ED1">
      <w:pPr>
        <w:pStyle w:val="HTMLPreformatted"/>
        <w:keepLines/>
        <w:widowControl w:val="0"/>
        <w:rPr>
          <w:rFonts w:ascii="Times New Roman" w:hAnsi="Times New Roman" w:cs="Times New Roman"/>
          <w:b/>
          <w:sz w:val="24"/>
          <w:szCs w:val="24"/>
          <w:lang w:val="ro-RO"/>
        </w:rPr>
      </w:pPr>
      <w:r w:rsidRPr="001D386D">
        <w:rPr>
          <w:rFonts w:ascii="Times New Roman" w:hAnsi="Times New Roman" w:cs="Times New Roman"/>
          <w:b/>
          <w:sz w:val="24"/>
          <w:szCs w:val="24"/>
          <w:highlight w:val="cyan"/>
          <w:lang w:val="ro-RO"/>
        </w:rPr>
        <w:t>Modalitatea de notare a dosarului:</w:t>
      </w:r>
      <w:r w:rsidRPr="00136BBC">
        <w:rPr>
          <w:rFonts w:ascii="Times New Roman" w:hAnsi="Times New Roman" w:cs="Times New Roman"/>
          <w:b/>
          <w:sz w:val="24"/>
          <w:szCs w:val="24"/>
          <w:lang w:val="ro-RO"/>
        </w:rPr>
        <w:t xml:space="preserve"> </w:t>
      </w:r>
    </w:p>
    <w:p w14:paraId="52530290" w14:textId="77777777" w:rsidR="00A55754" w:rsidRPr="00136BBC" w:rsidRDefault="00A55754" w:rsidP="00806ED1">
      <w:pPr>
        <w:keepLines/>
        <w:widowControl w:val="0"/>
        <w:rPr>
          <w:lang w:val="ro-RO"/>
        </w:rPr>
      </w:pPr>
      <w:r w:rsidRPr="00136BBC">
        <w:rPr>
          <w:lang w:val="ro-RO"/>
        </w:rPr>
        <w:t xml:space="preserve">a) competențele lingvistice </w:t>
      </w:r>
      <w:r w:rsidR="009F38F7" w:rsidRPr="00136BBC">
        <w:rPr>
          <w:lang w:val="ro-RO"/>
        </w:rPr>
        <w:t>(2</w:t>
      </w:r>
      <w:r w:rsidRPr="00136BBC">
        <w:rPr>
          <w:lang w:val="ro-RO"/>
        </w:rPr>
        <w:t>0%);</w:t>
      </w:r>
    </w:p>
    <w:p w14:paraId="55963EB4" w14:textId="416170C3" w:rsidR="00A55754" w:rsidRPr="001D386D" w:rsidRDefault="00A55754" w:rsidP="00806ED1">
      <w:pPr>
        <w:keepLines/>
        <w:widowControl w:val="0"/>
        <w:rPr>
          <w:lang w:val="ro-RO"/>
        </w:rPr>
      </w:pPr>
      <w:r w:rsidRPr="00136BBC">
        <w:rPr>
          <w:lang w:val="ro-RO"/>
        </w:rPr>
        <w:t xml:space="preserve">b) </w:t>
      </w:r>
      <w:r w:rsidR="009F38F7" w:rsidRPr="001D386D">
        <w:rPr>
          <w:lang w:val="ro-RO"/>
        </w:rPr>
        <w:t>motivație</w:t>
      </w:r>
      <w:r w:rsidR="00FA3161" w:rsidRPr="001D386D">
        <w:rPr>
          <w:lang w:val="ro-RO"/>
        </w:rPr>
        <w:t xml:space="preserve"> şi/sau interviu</w:t>
      </w:r>
      <w:r w:rsidRPr="001D386D">
        <w:rPr>
          <w:lang w:val="ro-RO"/>
        </w:rPr>
        <w:t xml:space="preserve"> (80%).</w:t>
      </w:r>
    </w:p>
    <w:p w14:paraId="41D65831" w14:textId="61F0B81B" w:rsidR="0068283D" w:rsidRPr="00136BBC" w:rsidRDefault="0068283D" w:rsidP="00806ED1">
      <w:pPr>
        <w:keepLines/>
        <w:widowControl w:val="0"/>
        <w:rPr>
          <w:lang w:val="ro-RO"/>
        </w:rPr>
      </w:pPr>
    </w:p>
    <w:p w14:paraId="6AD3D626" w14:textId="4BEC821E" w:rsidR="0068283D" w:rsidRPr="001D386D" w:rsidRDefault="0012434B" w:rsidP="0012434B">
      <w:pPr>
        <w:keepLines/>
        <w:widowControl w:val="0"/>
        <w:jc w:val="both"/>
        <w:rPr>
          <w:bCs/>
          <w:lang w:val="ro-RO"/>
        </w:rPr>
      </w:pPr>
      <w:r w:rsidRPr="001D386D">
        <w:rPr>
          <w:bCs/>
          <w:lang w:val="ro-RO"/>
        </w:rPr>
        <w:t>În cazul facultăţilor care consideră necesară şi organizarea unui interviu pentru evaluarea candidaţilor, acesta se poate organiza la facultate.</w:t>
      </w:r>
    </w:p>
    <w:p w14:paraId="7FF06AE9" w14:textId="77777777" w:rsidR="008F2CEC" w:rsidRPr="00136BBC" w:rsidRDefault="008F2CEC" w:rsidP="00806ED1">
      <w:pPr>
        <w:keepLines/>
        <w:widowControl w:val="0"/>
        <w:jc w:val="both"/>
        <w:rPr>
          <w:b/>
          <w:bCs/>
          <w:u w:val="single"/>
          <w:lang w:val="ro-RO"/>
        </w:rPr>
      </w:pPr>
    </w:p>
    <w:p w14:paraId="45425F96" w14:textId="52D70FA1" w:rsidR="00F177EA" w:rsidRPr="001D386D" w:rsidRDefault="001D386D" w:rsidP="00806ED1">
      <w:pPr>
        <w:keepLines/>
        <w:widowControl w:val="0"/>
        <w:rPr>
          <w:b/>
          <w:bCs/>
          <w:lang w:val="ro-RO"/>
        </w:rPr>
      </w:pPr>
      <w:r w:rsidRPr="001D386D">
        <w:rPr>
          <w:b/>
          <w:bCs/>
          <w:highlight w:val="cyan"/>
          <w:lang w:val="ro-RO"/>
        </w:rPr>
        <w:t>Selecția candidaților:</w:t>
      </w:r>
    </w:p>
    <w:p w14:paraId="1E59C98C" w14:textId="77777777" w:rsidR="009F38F7" w:rsidRPr="001D386D" w:rsidRDefault="009F38F7" w:rsidP="00806ED1">
      <w:pPr>
        <w:pStyle w:val="ListParagraph"/>
        <w:keepLines/>
        <w:widowControl w:val="0"/>
        <w:tabs>
          <w:tab w:val="left" w:pos="450"/>
        </w:tabs>
        <w:ind w:left="0"/>
        <w:jc w:val="both"/>
        <w:rPr>
          <w:b/>
          <w:bCs/>
          <w:color w:val="1F4E79"/>
          <w:lang w:val="ro-RO"/>
        </w:rPr>
      </w:pPr>
    </w:p>
    <w:p w14:paraId="2E54996F" w14:textId="2334E8FF" w:rsidR="007E5108"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noProof/>
          <w:lang w:val="ro-RO"/>
        </w:rPr>
      </w:pPr>
      <w:r w:rsidRPr="009F1287">
        <w:rPr>
          <w:noProof/>
          <w:lang w:val="ro-RO"/>
        </w:rPr>
        <w:t xml:space="preserve">Selecțiile pentru mobilități Erasmus+ </w:t>
      </w:r>
      <w:r>
        <w:rPr>
          <w:noProof/>
          <w:lang w:val="ro-RO"/>
        </w:rPr>
        <w:t xml:space="preserve">de scurtă durată </w:t>
      </w:r>
      <w:r w:rsidRPr="009F1287">
        <w:rPr>
          <w:noProof/>
          <w:lang w:val="ro-RO"/>
        </w:rPr>
        <w:t xml:space="preserve">se pot organiza </w:t>
      </w:r>
      <w:r w:rsidRPr="00A02860">
        <w:rPr>
          <w:b/>
          <w:noProof/>
          <w:lang w:val="ro-RO"/>
        </w:rPr>
        <w:t>pe tot parcursul anului academic</w:t>
      </w:r>
      <w:r w:rsidRPr="009F1287">
        <w:rPr>
          <w:noProof/>
          <w:lang w:val="ro-RO"/>
        </w:rPr>
        <w:t xml:space="preserve">, ori de câte ori sunt identificate noi oportunități de </w:t>
      </w:r>
      <w:r>
        <w:rPr>
          <w:noProof/>
          <w:lang w:val="ro-RO"/>
        </w:rPr>
        <w:t>mobilităţi</w:t>
      </w:r>
      <w:r w:rsidRPr="009F1287">
        <w:rPr>
          <w:noProof/>
          <w:lang w:val="ro-RO"/>
        </w:rPr>
        <w:t xml:space="preserve"> la nivelul facultăților UAIC </w:t>
      </w:r>
      <w:r w:rsidRPr="00C61B9C">
        <w:rPr>
          <w:noProof/>
          <w:lang w:val="ro-RO"/>
        </w:rPr>
        <w:t xml:space="preserve">sau de către studenți, </w:t>
      </w:r>
      <w:r w:rsidRPr="00A02860">
        <w:rPr>
          <w:b/>
          <w:noProof/>
          <w:lang w:val="ro-RO"/>
        </w:rPr>
        <w:t>în limita fondurilor disponibile</w:t>
      </w:r>
      <w:r w:rsidRPr="00C61B9C">
        <w:rPr>
          <w:noProof/>
          <w:lang w:val="ro-RO"/>
        </w:rPr>
        <w:t>.</w:t>
      </w:r>
    </w:p>
    <w:p w14:paraId="7E8F0BC4" w14:textId="77777777" w:rsidR="007E5108" w:rsidRPr="00A02860"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noProof/>
          <w:lang w:val="ro-RO"/>
        </w:rPr>
      </w:pPr>
      <w:r w:rsidRPr="00C61B9C">
        <w:rPr>
          <w:noProof/>
          <w:lang w:val="ro-RO"/>
        </w:rPr>
        <w:t>Se organizează întâlniri informative (pre şi post selecţie) cu studenții interesați să participe la selecție</w:t>
      </w:r>
      <w:r>
        <w:rPr>
          <w:lang w:val="ro-RO"/>
        </w:rPr>
        <w:t>, atât la nivel instituţional, cât şi la nivelul facultăţii</w:t>
      </w:r>
      <w:r w:rsidRPr="00C61B9C">
        <w:rPr>
          <w:noProof/>
          <w:lang w:val="ro-RO"/>
        </w:rPr>
        <w:t>.</w:t>
      </w:r>
    </w:p>
    <w:p w14:paraId="50C3533E" w14:textId="77777777" w:rsidR="007E5108" w:rsidRPr="009F1287"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noProof/>
          <w:lang w:val="ro-RO"/>
        </w:rPr>
      </w:pPr>
      <w:r w:rsidRPr="009F1287">
        <w:rPr>
          <w:noProof/>
          <w:lang w:val="ro-RO"/>
        </w:rPr>
        <w:t xml:space="preserve">Dosarele de candidatură se depun la coordonatorul Erasmus </w:t>
      </w:r>
      <w:r w:rsidRPr="00313024">
        <w:rPr>
          <w:lang w:val="ro-RO"/>
        </w:rPr>
        <w:t>al facultății</w:t>
      </w:r>
      <w:r w:rsidRPr="002B07AE">
        <w:rPr>
          <w:lang w:val="ro-RO"/>
        </w:rPr>
        <w:t>/secretariatul facultății</w:t>
      </w:r>
      <w:r w:rsidRPr="009F1287">
        <w:rPr>
          <w:noProof/>
          <w:lang w:val="ro-RO"/>
        </w:rPr>
        <w:t xml:space="preserve"> pe măsură ce candidații le întocmesc.</w:t>
      </w:r>
    </w:p>
    <w:p w14:paraId="705D40DF" w14:textId="77777777" w:rsidR="007E5108" w:rsidRPr="009F1287"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noProof/>
          <w:lang w:val="ro-RO"/>
        </w:rPr>
      </w:pPr>
      <w:r w:rsidRPr="009F1287">
        <w:rPr>
          <w:noProof/>
          <w:lang w:val="ro-RO"/>
        </w:rPr>
        <w:t>Candidații vor primi o informare de la c</w:t>
      </w:r>
      <w:r>
        <w:rPr>
          <w:noProof/>
          <w:lang w:val="ro-RO"/>
        </w:rPr>
        <w:t>oordonatorul Erasmus</w:t>
      </w:r>
      <w:r w:rsidRPr="009F1287">
        <w:rPr>
          <w:noProof/>
          <w:lang w:val="ro-RO"/>
        </w:rPr>
        <w:t xml:space="preserve"> cu privire la data, ora și locul/platforma unde va avea loc interviul cu membrii comisiei de selecție de la nivelul Facultății (față – în – față sau online). </w:t>
      </w:r>
    </w:p>
    <w:p w14:paraId="448E9290" w14:textId="77777777" w:rsidR="007E5108" w:rsidRPr="009F1287"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noProof/>
          <w:lang w:val="ro-RO"/>
        </w:rPr>
      </w:pPr>
      <w:r w:rsidRPr="009F1287">
        <w:rPr>
          <w:noProof/>
          <w:lang w:val="ro-RO"/>
        </w:rPr>
        <w:t>Afișarea rezultatelor privind eligibilitatea candidaţilor se face în cel mai scurt timp după susținerea interviului.</w:t>
      </w:r>
    </w:p>
    <w:p w14:paraId="2C99795A" w14:textId="77777777" w:rsidR="007E5108" w:rsidRPr="009F1287"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noProof/>
          <w:lang w:val="ro-RO"/>
        </w:rPr>
      </w:pPr>
      <w:r w:rsidRPr="009F1287">
        <w:rPr>
          <w:noProof/>
          <w:lang w:val="ro-RO"/>
        </w:rPr>
        <w:t>Procesul-verbal de eligibilitate este transmis la Biroul Erasmus+ de către coordonatorul Erasmus.</w:t>
      </w:r>
    </w:p>
    <w:p w14:paraId="16D13FC6" w14:textId="77777777" w:rsidR="007E5108"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noProof/>
          <w:lang w:val="ro-RO"/>
        </w:rPr>
      </w:pPr>
      <w:r w:rsidRPr="009F1287">
        <w:rPr>
          <w:noProof/>
          <w:lang w:val="ro-RO"/>
        </w:rPr>
        <w:t>Are loc întrunirea comisiei de titularizare în vederea selecţiei şi titularizării candidaţilor şi aprobarea proceselor-verbale de titularizare în şedinţa BECA.</w:t>
      </w:r>
    </w:p>
    <w:p w14:paraId="74884CBE" w14:textId="77777777" w:rsidR="007E5108" w:rsidRPr="00D75762"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noProof/>
          <w:lang w:val="ro-RO"/>
        </w:rPr>
      </w:pPr>
      <w:r w:rsidRPr="00D75762">
        <w:rPr>
          <w:noProof/>
          <w:lang w:val="ro-RO"/>
        </w:rPr>
        <w:t>Rezultatele selecției vor fi comunicate de către Serviciul Relații Internaționale – Biroul Erasmus+.</w:t>
      </w:r>
    </w:p>
    <w:p w14:paraId="2BF50F9C" w14:textId="77777777" w:rsidR="007E5108" w:rsidRPr="00D75762" w:rsidRDefault="007E5108" w:rsidP="007E5108">
      <w:pPr>
        <w:keepLines/>
        <w:widowControl w:val="0"/>
        <w:numPr>
          <w:ilvl w:val="0"/>
          <w:numId w:val="19"/>
        </w:numPr>
        <w:pBdr>
          <w:top w:val="nil"/>
          <w:left w:val="nil"/>
          <w:bottom w:val="nil"/>
          <w:right w:val="nil"/>
          <w:between w:val="nil"/>
        </w:pBdr>
        <w:tabs>
          <w:tab w:val="left" w:pos="450"/>
        </w:tabs>
        <w:spacing w:after="240"/>
        <w:ind w:left="357" w:hanging="357"/>
        <w:jc w:val="both"/>
        <w:rPr>
          <w:lang w:val="ro-RO"/>
        </w:rPr>
      </w:pPr>
      <w:r w:rsidRPr="001407DF">
        <w:rPr>
          <w:lang w:val="ro-RO"/>
        </w:rPr>
        <w:t xml:space="preserve">Se organizează </w:t>
      </w:r>
      <w:r>
        <w:rPr>
          <w:lang w:val="ro-RO"/>
        </w:rPr>
        <w:t>la nivel instituţion</w:t>
      </w:r>
      <w:r w:rsidRPr="00D75762">
        <w:rPr>
          <w:lang w:val="ro-RO"/>
        </w:rPr>
        <w:t>al o întâlnire informativă cu studenții selectați.</w:t>
      </w:r>
    </w:p>
    <w:p w14:paraId="1CD181E0" w14:textId="77777777" w:rsidR="0067638B" w:rsidRDefault="0067638B" w:rsidP="00806ED1">
      <w:pPr>
        <w:keepLines/>
        <w:widowControl w:val="0"/>
        <w:jc w:val="both"/>
        <w:rPr>
          <w:b/>
          <w:bCs/>
          <w:highlight w:val="cyan"/>
          <w:lang w:val="ro-RO"/>
        </w:rPr>
      </w:pPr>
    </w:p>
    <w:p w14:paraId="49195354" w14:textId="590B2D30" w:rsidR="009F38F7" w:rsidRPr="008927C5" w:rsidRDefault="008927C5" w:rsidP="00806ED1">
      <w:pPr>
        <w:keepLines/>
        <w:widowControl w:val="0"/>
        <w:jc w:val="both"/>
        <w:rPr>
          <w:b/>
          <w:bCs/>
          <w:lang w:val="ro-RO"/>
        </w:rPr>
      </w:pPr>
      <w:r w:rsidRPr="008927C5">
        <w:rPr>
          <w:b/>
          <w:bCs/>
          <w:highlight w:val="cyan"/>
          <w:lang w:val="ro-RO"/>
        </w:rPr>
        <w:t>Bursa Eras</w:t>
      </w:r>
      <w:r w:rsidRPr="0041263E">
        <w:rPr>
          <w:b/>
          <w:bCs/>
          <w:highlight w:val="cyan"/>
          <w:lang w:val="ro-RO"/>
        </w:rPr>
        <w:t>mus</w:t>
      </w:r>
      <w:r w:rsidR="0041263E" w:rsidRPr="0041263E">
        <w:rPr>
          <w:b/>
          <w:bCs/>
          <w:highlight w:val="cyan"/>
          <w:lang w:val="ro-RO"/>
        </w:rPr>
        <w:t>:</w:t>
      </w:r>
    </w:p>
    <w:p w14:paraId="3484610F" w14:textId="1009F27F" w:rsidR="0027527F" w:rsidRPr="00136BBC" w:rsidRDefault="0027527F" w:rsidP="00806ED1">
      <w:pPr>
        <w:keepLines/>
        <w:widowControl w:val="0"/>
        <w:jc w:val="both"/>
        <w:rPr>
          <w:b/>
          <w:bCs/>
          <w:u w:val="single"/>
          <w:lang w:val="ro-RO"/>
        </w:rPr>
      </w:pPr>
    </w:p>
    <w:p w14:paraId="35C9FFFF" w14:textId="60756052" w:rsidR="0027527F" w:rsidRDefault="0027527F" w:rsidP="0027527F">
      <w:pPr>
        <w:keepLines/>
        <w:widowControl w:val="0"/>
        <w:jc w:val="both"/>
        <w:rPr>
          <w:lang w:val="ro-RO"/>
        </w:rPr>
      </w:pPr>
      <w:r w:rsidRPr="000E644D">
        <w:rPr>
          <w:b/>
          <w:lang w:val="ro-RO"/>
        </w:rPr>
        <w:t>Cuantumul bursei zilnice</w:t>
      </w:r>
      <w:r w:rsidRPr="00136BBC">
        <w:rPr>
          <w:lang w:val="ro-RO"/>
        </w:rPr>
        <w:t xml:space="preserve"> </w:t>
      </w:r>
      <w:r w:rsidR="000E644D">
        <w:rPr>
          <w:lang w:val="ro-RO"/>
        </w:rPr>
        <w:t>(</w:t>
      </w:r>
      <w:r w:rsidR="000E644D" w:rsidRPr="00E369C2">
        <w:rPr>
          <w:b/>
          <w:bCs/>
          <w:lang w:val="ro-RO"/>
        </w:rPr>
        <w:t>sprijin individual</w:t>
      </w:r>
      <w:r w:rsidR="000E644D">
        <w:rPr>
          <w:lang w:val="ro-RO"/>
        </w:rPr>
        <w:t xml:space="preserve">) </w:t>
      </w:r>
      <w:r w:rsidRPr="00136BBC">
        <w:rPr>
          <w:lang w:val="ro-RO"/>
        </w:rPr>
        <w:t xml:space="preserve">pentru mobilitățile </w:t>
      </w:r>
      <w:r w:rsidR="00FD4A9B" w:rsidRPr="00136BBC">
        <w:rPr>
          <w:lang w:val="ro-RO"/>
        </w:rPr>
        <w:t>studenţeşti de scurtă durată</w:t>
      </w:r>
      <w:r w:rsidRPr="00136BBC">
        <w:rPr>
          <w:lang w:val="ro-RO"/>
        </w:rPr>
        <w:t xml:space="preserve"> către ţări terţe care nu sunt asociate Programului a fost stabilit la nivel național de către Agenția Națională pentru Programe Comunitare în Domeniul Educației și Formării Profesionale (ANPCDEFP), în conformitate cu Ghidul Erasmus</w:t>
      </w:r>
      <w:r w:rsidR="00FD4A9B" w:rsidRPr="00136BBC">
        <w:rPr>
          <w:lang w:val="ro-RO"/>
        </w:rPr>
        <w:t>+, respectiv:</w:t>
      </w:r>
      <w:r w:rsidR="00C91F4A">
        <w:rPr>
          <w:lang w:val="ro-RO"/>
        </w:rPr>
        <w:t xml:space="preserve"> </w:t>
      </w:r>
    </w:p>
    <w:p w14:paraId="4B8E55E6" w14:textId="02F61132" w:rsidR="00E254D7" w:rsidRPr="008927C5" w:rsidRDefault="00E254D7" w:rsidP="00E254D7">
      <w:pPr>
        <w:pStyle w:val="ListParagraph"/>
        <w:keepLines/>
        <w:widowControl w:val="0"/>
        <w:numPr>
          <w:ilvl w:val="0"/>
          <w:numId w:val="23"/>
        </w:numPr>
        <w:spacing w:before="120" w:after="120"/>
        <w:contextualSpacing w:val="0"/>
        <w:jc w:val="both"/>
        <w:rPr>
          <w:lang w:val="ro-RO"/>
        </w:rPr>
      </w:pPr>
      <w:r w:rsidRPr="00136BBC">
        <w:rPr>
          <w:b/>
          <w:bCs/>
          <w:lang w:val="ro-RO"/>
        </w:rPr>
        <w:t>70 Euro/</w:t>
      </w:r>
      <w:r w:rsidRPr="008927C5">
        <w:rPr>
          <w:b/>
          <w:bCs/>
          <w:lang w:val="ro-RO"/>
        </w:rPr>
        <w:t>zi</w:t>
      </w:r>
      <w:r w:rsidRPr="008927C5">
        <w:rPr>
          <w:lang w:val="ro-RO"/>
        </w:rPr>
        <w:t>: până la cea de a 14</w:t>
      </w:r>
      <w:r w:rsidRPr="008927C5">
        <w:rPr>
          <w:vertAlign w:val="superscript"/>
          <w:lang w:val="ro-RO"/>
        </w:rPr>
        <w:t xml:space="preserve">-a </w:t>
      </w:r>
      <w:r w:rsidRPr="008927C5">
        <w:rPr>
          <w:lang w:val="ro-RO"/>
        </w:rPr>
        <w:t>zi de activitate</w:t>
      </w:r>
      <w:r>
        <w:rPr>
          <w:lang w:val="ro-RO"/>
        </w:rPr>
        <w:t>;</w:t>
      </w:r>
    </w:p>
    <w:p w14:paraId="2E824534" w14:textId="54FBDC41" w:rsidR="00E254D7" w:rsidRPr="008927C5" w:rsidRDefault="00E254D7" w:rsidP="00E254D7">
      <w:pPr>
        <w:pStyle w:val="ListParagraph"/>
        <w:keepLines/>
        <w:widowControl w:val="0"/>
        <w:numPr>
          <w:ilvl w:val="0"/>
          <w:numId w:val="23"/>
        </w:numPr>
        <w:spacing w:before="120" w:after="120"/>
        <w:contextualSpacing w:val="0"/>
        <w:jc w:val="both"/>
        <w:rPr>
          <w:lang w:val="ro-RO"/>
        </w:rPr>
      </w:pPr>
      <w:r w:rsidRPr="008927C5">
        <w:rPr>
          <w:b/>
          <w:bCs/>
          <w:lang w:val="ro-RO"/>
        </w:rPr>
        <w:t>50 Euro/zi</w:t>
      </w:r>
      <w:r w:rsidRPr="008927C5">
        <w:rPr>
          <w:lang w:val="ro-RO"/>
        </w:rPr>
        <w:t>: între a 15</w:t>
      </w:r>
      <w:r w:rsidRPr="008927C5">
        <w:rPr>
          <w:vertAlign w:val="superscript"/>
          <w:lang w:val="ro-RO"/>
        </w:rPr>
        <w:t>-a</w:t>
      </w:r>
      <w:r w:rsidRPr="008927C5">
        <w:rPr>
          <w:lang w:val="ro-RO"/>
        </w:rPr>
        <w:t xml:space="preserve"> zi și a 30</w:t>
      </w:r>
      <w:r w:rsidRPr="008927C5">
        <w:rPr>
          <w:vertAlign w:val="superscript"/>
          <w:lang w:val="ro-RO"/>
        </w:rPr>
        <w:t>-a</w:t>
      </w:r>
      <w:r w:rsidRPr="008927C5">
        <w:rPr>
          <w:lang w:val="ro-RO"/>
        </w:rPr>
        <w:t xml:space="preserve"> zi de activitate</w:t>
      </w:r>
      <w:r>
        <w:rPr>
          <w:lang w:val="ro-RO"/>
        </w:rPr>
        <w:t>.</w:t>
      </w:r>
    </w:p>
    <w:p w14:paraId="1BC81644" w14:textId="77777777" w:rsidR="003B30C0" w:rsidRDefault="003B30C0" w:rsidP="00F06270">
      <w:pPr>
        <w:keepLines/>
        <w:widowControl w:val="0"/>
        <w:spacing w:before="360" w:after="120"/>
        <w:jc w:val="both"/>
        <w:rPr>
          <w:b/>
          <w:bCs/>
          <w:lang w:val="ro-RO"/>
        </w:rPr>
      </w:pPr>
    </w:p>
    <w:p w14:paraId="6A0D0EC8" w14:textId="4C23FDB0" w:rsidR="000E644D" w:rsidRDefault="000E644D" w:rsidP="00F06270">
      <w:pPr>
        <w:keepLines/>
        <w:widowControl w:val="0"/>
        <w:spacing w:before="360" w:after="120"/>
        <w:jc w:val="both"/>
        <w:rPr>
          <w:b/>
          <w:bCs/>
          <w:lang w:val="ro-RO"/>
        </w:rPr>
      </w:pPr>
      <w:r w:rsidRPr="000E644D">
        <w:rPr>
          <w:b/>
          <w:bCs/>
          <w:lang w:val="ro-RO"/>
        </w:rPr>
        <w:lastRenderedPageBreak/>
        <w:t>Suplimentarea bursei Erasmus:</w:t>
      </w:r>
    </w:p>
    <w:p w14:paraId="704D1089" w14:textId="419DB999" w:rsidR="000E644D" w:rsidRPr="00427D05" w:rsidRDefault="000E644D" w:rsidP="003E20D0">
      <w:pPr>
        <w:pStyle w:val="ListParagraph"/>
        <w:keepLines/>
        <w:widowControl w:val="0"/>
        <w:numPr>
          <w:ilvl w:val="0"/>
          <w:numId w:val="24"/>
        </w:numPr>
        <w:spacing w:after="120"/>
        <w:ind w:left="714" w:hanging="357"/>
        <w:contextualSpacing w:val="0"/>
        <w:jc w:val="both"/>
        <w:rPr>
          <w:bCs/>
          <w:lang w:val="ro-RO"/>
        </w:rPr>
      </w:pPr>
      <w:r w:rsidRPr="00E369C2">
        <w:rPr>
          <w:b/>
          <w:bCs/>
          <w:lang w:val="ro-RO"/>
        </w:rPr>
        <w:t xml:space="preserve">cu cuantumul aferent a maximum </w:t>
      </w:r>
      <w:r>
        <w:rPr>
          <w:b/>
          <w:bCs/>
          <w:lang w:val="ro-RO"/>
        </w:rPr>
        <w:t xml:space="preserve">2 </w:t>
      </w:r>
      <w:r w:rsidRPr="00E369C2">
        <w:rPr>
          <w:b/>
          <w:bCs/>
          <w:lang w:val="ro-RO"/>
        </w:rPr>
        <w:t>zile de sprijin individual suplimentar</w:t>
      </w:r>
      <w:r w:rsidRPr="00E369C2">
        <w:rPr>
          <w:lang w:val="ro-RO"/>
        </w:rPr>
        <w:t xml:space="preserve"> (în afara perioadei de mobilitate), dacă este cazul, pentru e</w:t>
      </w:r>
      <w:r>
        <w:rPr>
          <w:lang w:val="ro-RO"/>
        </w:rPr>
        <w:t>fectuarea călătoriei dus-întors;</w:t>
      </w:r>
    </w:p>
    <w:p w14:paraId="2B0C0345" w14:textId="0FA4F9B1" w:rsidR="00C84DE9" w:rsidRPr="00C84DE9" w:rsidRDefault="00C84DE9" w:rsidP="00C84DE9">
      <w:pPr>
        <w:pStyle w:val="ListParagraph"/>
        <w:keepLines/>
        <w:widowControl w:val="0"/>
        <w:numPr>
          <w:ilvl w:val="0"/>
          <w:numId w:val="24"/>
        </w:numPr>
        <w:spacing w:after="120"/>
        <w:contextualSpacing w:val="0"/>
        <w:jc w:val="both"/>
        <w:rPr>
          <w:lang w:val="ro-RO"/>
        </w:rPr>
      </w:pPr>
      <w:r w:rsidRPr="00907D0E">
        <w:rPr>
          <w:b/>
          <w:lang w:val="ro-RO"/>
        </w:rPr>
        <w:t>pentru</w:t>
      </w:r>
      <w:r w:rsidRPr="00907D0E">
        <w:rPr>
          <w:b/>
          <w:bCs/>
          <w:lang w:val="ro-RO"/>
        </w:rPr>
        <w:t xml:space="preserve"> </w:t>
      </w:r>
      <w:r w:rsidRPr="00907D0E">
        <w:rPr>
          <w:b/>
          <w:lang w:val="ro-RO"/>
        </w:rPr>
        <w:t>participanţii cu oportunități reduse</w:t>
      </w:r>
      <w:r>
        <w:rPr>
          <w:rStyle w:val="FootnoteReference"/>
          <w:lang w:val="ro-RO"/>
        </w:rPr>
        <w:footnoteReference w:id="6"/>
      </w:r>
      <w:r w:rsidRPr="000837DC">
        <w:rPr>
          <w:bCs/>
          <w:lang w:val="ro-RO"/>
        </w:rPr>
        <w:t xml:space="preserve">, </w:t>
      </w:r>
      <w:r>
        <w:rPr>
          <w:bCs/>
          <w:lang w:val="ro-RO"/>
        </w:rPr>
        <w:t xml:space="preserve">bursa se suplimentează cu </w:t>
      </w:r>
      <w:r w:rsidRPr="00136BBC">
        <w:rPr>
          <w:b/>
          <w:lang w:val="ro-RO"/>
        </w:rPr>
        <w:t>100</w:t>
      </w:r>
      <w:r w:rsidRPr="00136BBC">
        <w:rPr>
          <w:lang w:val="ro-RO"/>
        </w:rPr>
        <w:t xml:space="preserve"> </w:t>
      </w:r>
      <w:r w:rsidRPr="00136BBC">
        <w:rPr>
          <w:rStyle w:val="Strong"/>
          <w:lang w:val="ro-RO"/>
        </w:rPr>
        <w:t>Euro</w:t>
      </w:r>
      <w:r w:rsidRPr="002B53C6">
        <w:rPr>
          <w:bCs/>
          <w:lang w:val="ro-RO"/>
        </w:rPr>
        <w:t xml:space="preserve"> </w:t>
      </w:r>
      <w:r>
        <w:rPr>
          <w:bCs/>
          <w:lang w:val="ro-RO"/>
        </w:rPr>
        <w:t xml:space="preserve">pentru </w:t>
      </w:r>
      <w:r w:rsidRPr="002B53C6">
        <w:rPr>
          <w:bCs/>
          <w:lang w:val="ro-RO"/>
        </w:rPr>
        <w:t xml:space="preserve">mobilitățile </w:t>
      </w:r>
      <w:r>
        <w:rPr>
          <w:bCs/>
          <w:lang w:val="ro-RO"/>
        </w:rPr>
        <w:t>cu o durată de până la</w:t>
      </w:r>
      <w:r w:rsidRPr="002B53C6">
        <w:rPr>
          <w:bCs/>
          <w:lang w:val="ro-RO"/>
        </w:rPr>
        <w:t xml:space="preserve"> 14 zile de activitate</w:t>
      </w:r>
      <w:r>
        <w:rPr>
          <w:bCs/>
          <w:lang w:val="ro-RO"/>
        </w:rPr>
        <w:t xml:space="preserve">, respectiv cu </w:t>
      </w:r>
      <w:r>
        <w:rPr>
          <w:b/>
          <w:bCs/>
          <w:lang w:val="ro-RO"/>
        </w:rPr>
        <w:t>150 Euro</w:t>
      </w:r>
      <w:r>
        <w:rPr>
          <w:bCs/>
          <w:lang w:val="ro-RO"/>
        </w:rPr>
        <w:t xml:space="preserve"> pentru </w:t>
      </w:r>
      <w:r w:rsidRPr="003C7F5A">
        <w:rPr>
          <w:bCs/>
          <w:lang w:val="ro-RO"/>
        </w:rPr>
        <w:t>mobilitățile care depășesc 14 zile de activitate</w:t>
      </w:r>
      <w:r>
        <w:rPr>
          <w:bCs/>
          <w:lang w:val="ro-RO"/>
        </w:rPr>
        <w:t>;</w:t>
      </w:r>
    </w:p>
    <w:p w14:paraId="3EA23FAD" w14:textId="36760413" w:rsidR="003E20D0" w:rsidRPr="007D1159" w:rsidRDefault="00897649" w:rsidP="007D1159">
      <w:pPr>
        <w:pStyle w:val="ListParagraph"/>
        <w:keepLines/>
        <w:widowControl w:val="0"/>
        <w:numPr>
          <w:ilvl w:val="0"/>
          <w:numId w:val="24"/>
        </w:numPr>
        <w:spacing w:after="120"/>
        <w:contextualSpacing w:val="0"/>
        <w:jc w:val="both"/>
        <w:rPr>
          <w:bCs/>
          <w:lang w:val="ro-RO"/>
        </w:rPr>
      </w:pPr>
      <w:r w:rsidRPr="00907D0E">
        <w:rPr>
          <w:b/>
          <w:lang w:val="ro-RO"/>
        </w:rPr>
        <w:t>pentru</w:t>
      </w:r>
      <w:r w:rsidRPr="00907D0E">
        <w:rPr>
          <w:b/>
          <w:bCs/>
          <w:lang w:val="ro-RO"/>
        </w:rPr>
        <w:t xml:space="preserve"> </w:t>
      </w:r>
      <w:r>
        <w:rPr>
          <w:b/>
          <w:lang w:val="ro-RO"/>
        </w:rPr>
        <w:t xml:space="preserve">studenţii </w:t>
      </w:r>
      <w:r w:rsidRPr="00897649">
        <w:rPr>
          <w:b/>
          <w:lang w:val="ro-RO"/>
        </w:rPr>
        <w:t xml:space="preserve">care efectuează mobilităţi către ţări </w:t>
      </w:r>
      <w:r>
        <w:rPr>
          <w:b/>
          <w:lang w:val="ro-RO"/>
        </w:rPr>
        <w:t xml:space="preserve">din </w:t>
      </w:r>
      <w:r w:rsidR="00E61140">
        <w:rPr>
          <w:b/>
          <w:bCs/>
          <w:lang w:val="ro-RO"/>
        </w:rPr>
        <w:t>regiunile 1-12</w:t>
      </w:r>
      <w:r w:rsidR="00427D05">
        <w:rPr>
          <w:bCs/>
          <w:lang w:val="ro-RO"/>
        </w:rPr>
        <w:t xml:space="preserve">, precum şi </w:t>
      </w:r>
      <w:r w:rsidR="00427D05" w:rsidRPr="00907D0E">
        <w:rPr>
          <w:b/>
          <w:lang w:val="ro-RO"/>
        </w:rPr>
        <w:t>pentru</w:t>
      </w:r>
      <w:r w:rsidR="00427D05" w:rsidRPr="00907D0E">
        <w:rPr>
          <w:b/>
          <w:bCs/>
          <w:lang w:val="ro-RO"/>
        </w:rPr>
        <w:t xml:space="preserve"> </w:t>
      </w:r>
      <w:r w:rsidR="00427D05" w:rsidRPr="00907D0E">
        <w:rPr>
          <w:b/>
          <w:lang w:val="ro-RO"/>
        </w:rPr>
        <w:t>participanţii cu oportunități reduse</w:t>
      </w:r>
      <w:r w:rsidR="00427D05">
        <w:rPr>
          <w:b/>
          <w:lang w:val="ro-RO"/>
        </w:rPr>
        <w:t xml:space="preserve"> </w:t>
      </w:r>
      <w:r w:rsidR="00427D05" w:rsidRPr="00897649">
        <w:rPr>
          <w:b/>
          <w:lang w:val="ro-RO"/>
        </w:rPr>
        <w:t xml:space="preserve">care efectuează mobilităţi către ţări </w:t>
      </w:r>
      <w:r w:rsidR="00427D05">
        <w:rPr>
          <w:b/>
          <w:lang w:val="ro-RO"/>
        </w:rPr>
        <w:t>din regiunile 13-14</w:t>
      </w:r>
      <w:r w:rsidR="00427D05">
        <w:rPr>
          <w:lang w:val="ro-RO"/>
        </w:rPr>
        <w:t>, se acordă</w:t>
      </w:r>
      <w:r w:rsidR="00E61140">
        <w:rPr>
          <w:b/>
          <w:bCs/>
          <w:lang w:val="ro-RO"/>
        </w:rPr>
        <w:t xml:space="preserve"> </w:t>
      </w:r>
      <w:r w:rsidR="007D1159">
        <w:rPr>
          <w:bCs/>
          <w:lang w:val="ro-RO"/>
        </w:rPr>
        <w:t>g</w:t>
      </w:r>
      <w:r w:rsidR="007D1159" w:rsidRPr="007D1159">
        <w:rPr>
          <w:bCs/>
          <w:lang w:val="ro-RO"/>
        </w:rPr>
        <w:t>rantul pentru transport (contribuția la costurile de călătorie dus-întors)</w:t>
      </w:r>
      <w:r w:rsidR="007D1159">
        <w:rPr>
          <w:bCs/>
          <w:lang w:val="ro-RO"/>
        </w:rPr>
        <w:t xml:space="preserve">, </w:t>
      </w:r>
      <w:r w:rsidR="00514546">
        <w:rPr>
          <w:bCs/>
          <w:lang w:val="ro-RO"/>
        </w:rPr>
        <w:t xml:space="preserve">calculat </w:t>
      </w:r>
      <w:r w:rsidR="007D1159" w:rsidRPr="00382621">
        <w:rPr>
          <w:lang w:val="ro-RO"/>
        </w:rPr>
        <w:t>în funcție de distanța de deplasare</w:t>
      </w:r>
      <w:r w:rsidR="007D1159" w:rsidRPr="0070110C">
        <w:rPr>
          <w:lang w:val="ro-RO"/>
        </w:rPr>
        <w:t xml:space="preserve"> </w:t>
      </w:r>
      <w:r w:rsidR="00746D6F">
        <w:rPr>
          <w:lang w:val="ro-RO"/>
        </w:rPr>
        <w:t xml:space="preserve">stabilită </w:t>
      </w:r>
      <w:r w:rsidR="007D1159" w:rsidRPr="0070110C">
        <w:rPr>
          <w:lang w:val="ro-RO"/>
        </w:rPr>
        <w:t>conform</w:t>
      </w:r>
      <w:r w:rsidR="007D1159" w:rsidRPr="007D1159">
        <w:rPr>
          <w:bCs/>
          <w:noProof/>
          <w:lang w:val="ro-RO"/>
        </w:rPr>
        <w:t xml:space="preserve"> </w:t>
      </w:r>
      <w:r w:rsidR="007D1159" w:rsidRPr="00E52E0B">
        <w:rPr>
          <w:bCs/>
          <w:noProof/>
          <w:lang w:val="ro-RO"/>
        </w:rPr>
        <w:t>calculatorului de distanțe al Comisiei E</w:t>
      </w:r>
      <w:r w:rsidR="007D1159" w:rsidRPr="009B5AEB">
        <w:rPr>
          <w:bCs/>
          <w:noProof/>
          <w:lang w:val="ro-RO"/>
        </w:rPr>
        <w:t>uropene</w:t>
      </w:r>
      <w:r w:rsidR="007D1159">
        <w:rPr>
          <w:bCs/>
          <w:noProof/>
          <w:lang w:val="ro-RO"/>
        </w:rPr>
        <w:t xml:space="preserve"> şi a</w:t>
      </w:r>
      <w:r w:rsidR="007D1159" w:rsidRPr="0070110C">
        <w:rPr>
          <w:lang w:val="ro-RO"/>
        </w:rPr>
        <w:t xml:space="preserve"> tabelului </w:t>
      </w:r>
      <w:r w:rsidR="007D1159">
        <w:rPr>
          <w:lang w:val="ro-RO"/>
        </w:rPr>
        <w:t>de mai jos (categoria transport standard, respectiv transport „green travel”</w:t>
      </w:r>
      <w:r w:rsidR="007D1159">
        <w:rPr>
          <w:rStyle w:val="FootnoteReference"/>
          <w:lang w:val="ro-RO"/>
        </w:rPr>
        <w:footnoteReference w:id="7"/>
      </w:r>
      <w:r w:rsidR="00217DEF">
        <w:rPr>
          <w:lang w:val="ro-RO"/>
        </w:rPr>
        <w:t>, după caz</w:t>
      </w:r>
      <w:r w:rsidR="007D1159">
        <w:rPr>
          <w:lang w:val="ro-RO"/>
        </w:rPr>
        <w:t>):</w:t>
      </w:r>
    </w:p>
    <w:tbl>
      <w:tblPr>
        <w:tblpPr w:leftFromText="180" w:rightFromText="180"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845"/>
        <w:gridCol w:w="2740"/>
      </w:tblGrid>
      <w:tr w:rsidR="007D1159" w:rsidRPr="0010190B" w14:paraId="041A5034" w14:textId="77777777" w:rsidTr="00FF33F6">
        <w:trPr>
          <w:cantSplit/>
          <w:trHeight w:val="333"/>
          <w:tblHeader/>
        </w:trPr>
        <w:tc>
          <w:tcPr>
            <w:tcW w:w="2418" w:type="dxa"/>
            <w:shd w:val="clear" w:color="auto" w:fill="D0CECE"/>
            <w:vAlign w:val="center"/>
          </w:tcPr>
          <w:p w14:paraId="2D08980D"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Distanța de deplasare</w:t>
            </w:r>
          </w:p>
        </w:tc>
        <w:tc>
          <w:tcPr>
            <w:tcW w:w="2845" w:type="dxa"/>
            <w:shd w:val="clear" w:color="auto" w:fill="D0CECE"/>
            <w:vAlign w:val="center"/>
          </w:tcPr>
          <w:p w14:paraId="3DBE01A4" w14:textId="77777777" w:rsidR="007D1159" w:rsidRPr="00746D6F" w:rsidRDefault="007D1159" w:rsidP="00FF33F6">
            <w:pPr>
              <w:pStyle w:val="ListParagraph"/>
              <w:keepLines/>
              <w:widowControl w:val="0"/>
              <w:ind w:left="0"/>
              <w:jc w:val="center"/>
              <w:rPr>
                <w:b/>
                <w:bCs/>
                <w:sz w:val="22"/>
                <w:lang w:val="ro-RO"/>
              </w:rPr>
            </w:pPr>
            <w:r w:rsidRPr="00746D6F">
              <w:rPr>
                <w:b/>
                <w:bCs/>
                <w:sz w:val="22"/>
                <w:lang w:val="ro-RO"/>
              </w:rPr>
              <w:t>Transport standard</w:t>
            </w:r>
          </w:p>
        </w:tc>
        <w:tc>
          <w:tcPr>
            <w:tcW w:w="2740" w:type="dxa"/>
            <w:shd w:val="clear" w:color="auto" w:fill="D0CECE"/>
            <w:vAlign w:val="center"/>
          </w:tcPr>
          <w:p w14:paraId="3D51BF07"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Transport „Green travel”</w:t>
            </w:r>
          </w:p>
        </w:tc>
      </w:tr>
      <w:tr w:rsidR="007D1159" w:rsidRPr="0010190B" w14:paraId="75BD3FBF" w14:textId="77777777" w:rsidTr="00FF33F6">
        <w:trPr>
          <w:cantSplit/>
          <w:trHeight w:val="359"/>
        </w:trPr>
        <w:tc>
          <w:tcPr>
            <w:tcW w:w="2418" w:type="dxa"/>
            <w:shd w:val="clear" w:color="auto" w:fill="auto"/>
            <w:vAlign w:val="center"/>
          </w:tcPr>
          <w:p w14:paraId="00839A82"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Între 10 și 99 KM</w:t>
            </w:r>
          </w:p>
        </w:tc>
        <w:tc>
          <w:tcPr>
            <w:tcW w:w="2845" w:type="dxa"/>
            <w:shd w:val="clear" w:color="auto" w:fill="auto"/>
            <w:vAlign w:val="center"/>
          </w:tcPr>
          <w:p w14:paraId="53CB28DE"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23 EUR</w:t>
            </w:r>
          </w:p>
        </w:tc>
        <w:tc>
          <w:tcPr>
            <w:tcW w:w="2740" w:type="dxa"/>
            <w:shd w:val="clear" w:color="auto" w:fill="AEAAAA"/>
            <w:vAlign w:val="center"/>
          </w:tcPr>
          <w:p w14:paraId="33EBBCF8" w14:textId="77777777" w:rsidR="007D1159" w:rsidRPr="0010190B" w:rsidRDefault="007D1159" w:rsidP="00FF33F6">
            <w:pPr>
              <w:pStyle w:val="ListParagraph"/>
              <w:keepLines/>
              <w:widowControl w:val="0"/>
              <w:ind w:left="0"/>
              <w:jc w:val="center"/>
              <w:rPr>
                <w:b/>
                <w:bCs/>
                <w:sz w:val="22"/>
                <w:lang w:val="ro-RO"/>
              </w:rPr>
            </w:pPr>
          </w:p>
        </w:tc>
      </w:tr>
      <w:tr w:rsidR="007D1159" w:rsidRPr="0010190B" w14:paraId="0D45B5C5" w14:textId="77777777" w:rsidTr="00FF33F6">
        <w:trPr>
          <w:cantSplit/>
          <w:trHeight w:val="333"/>
        </w:trPr>
        <w:tc>
          <w:tcPr>
            <w:tcW w:w="2418" w:type="dxa"/>
            <w:shd w:val="clear" w:color="auto" w:fill="auto"/>
            <w:vAlign w:val="center"/>
          </w:tcPr>
          <w:p w14:paraId="7843716D"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Între 100 și 499 KM</w:t>
            </w:r>
          </w:p>
        </w:tc>
        <w:tc>
          <w:tcPr>
            <w:tcW w:w="2845" w:type="dxa"/>
            <w:shd w:val="clear" w:color="auto" w:fill="auto"/>
            <w:vAlign w:val="center"/>
          </w:tcPr>
          <w:p w14:paraId="4E636A4B"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180 EUR</w:t>
            </w:r>
          </w:p>
        </w:tc>
        <w:tc>
          <w:tcPr>
            <w:tcW w:w="2740" w:type="dxa"/>
            <w:shd w:val="clear" w:color="auto" w:fill="auto"/>
            <w:vAlign w:val="center"/>
          </w:tcPr>
          <w:p w14:paraId="56F19749"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210 EUR</w:t>
            </w:r>
          </w:p>
        </w:tc>
      </w:tr>
      <w:tr w:rsidR="007D1159" w:rsidRPr="0010190B" w14:paraId="20D0909F" w14:textId="77777777" w:rsidTr="00FF33F6">
        <w:trPr>
          <w:cantSplit/>
          <w:trHeight w:val="359"/>
        </w:trPr>
        <w:tc>
          <w:tcPr>
            <w:tcW w:w="2418" w:type="dxa"/>
            <w:shd w:val="clear" w:color="auto" w:fill="auto"/>
            <w:vAlign w:val="center"/>
          </w:tcPr>
          <w:p w14:paraId="465B0FC5"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Între 500 și 1999 KM</w:t>
            </w:r>
          </w:p>
        </w:tc>
        <w:tc>
          <w:tcPr>
            <w:tcW w:w="2845" w:type="dxa"/>
            <w:shd w:val="clear" w:color="auto" w:fill="auto"/>
            <w:vAlign w:val="center"/>
          </w:tcPr>
          <w:p w14:paraId="2E78E42A"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275 EUR</w:t>
            </w:r>
          </w:p>
        </w:tc>
        <w:tc>
          <w:tcPr>
            <w:tcW w:w="2740" w:type="dxa"/>
            <w:shd w:val="clear" w:color="auto" w:fill="auto"/>
            <w:vAlign w:val="center"/>
          </w:tcPr>
          <w:p w14:paraId="6ED5F2CD"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320 EUR</w:t>
            </w:r>
          </w:p>
        </w:tc>
      </w:tr>
      <w:tr w:rsidR="007D1159" w:rsidRPr="0010190B" w14:paraId="09705929" w14:textId="77777777" w:rsidTr="00FF33F6">
        <w:trPr>
          <w:cantSplit/>
          <w:trHeight w:val="333"/>
        </w:trPr>
        <w:tc>
          <w:tcPr>
            <w:tcW w:w="2418" w:type="dxa"/>
            <w:shd w:val="clear" w:color="auto" w:fill="auto"/>
            <w:vAlign w:val="center"/>
          </w:tcPr>
          <w:p w14:paraId="7C48D7D5"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Între 2000 si 2999 KM</w:t>
            </w:r>
          </w:p>
        </w:tc>
        <w:tc>
          <w:tcPr>
            <w:tcW w:w="2845" w:type="dxa"/>
            <w:shd w:val="clear" w:color="auto" w:fill="auto"/>
            <w:vAlign w:val="center"/>
          </w:tcPr>
          <w:p w14:paraId="118D0FCD"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360 EUR</w:t>
            </w:r>
          </w:p>
        </w:tc>
        <w:tc>
          <w:tcPr>
            <w:tcW w:w="2740" w:type="dxa"/>
            <w:shd w:val="clear" w:color="auto" w:fill="auto"/>
            <w:vAlign w:val="center"/>
          </w:tcPr>
          <w:p w14:paraId="6BA3E40B"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410 EUR</w:t>
            </w:r>
          </w:p>
        </w:tc>
      </w:tr>
      <w:tr w:rsidR="007D1159" w:rsidRPr="0010190B" w14:paraId="59B83616" w14:textId="77777777" w:rsidTr="00FF33F6">
        <w:trPr>
          <w:cantSplit/>
          <w:trHeight w:val="359"/>
        </w:trPr>
        <w:tc>
          <w:tcPr>
            <w:tcW w:w="2418" w:type="dxa"/>
            <w:shd w:val="clear" w:color="auto" w:fill="auto"/>
            <w:vAlign w:val="center"/>
          </w:tcPr>
          <w:p w14:paraId="36192162"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Între 3000 și 3999 KM</w:t>
            </w:r>
          </w:p>
        </w:tc>
        <w:tc>
          <w:tcPr>
            <w:tcW w:w="2845" w:type="dxa"/>
            <w:shd w:val="clear" w:color="auto" w:fill="auto"/>
            <w:vAlign w:val="center"/>
          </w:tcPr>
          <w:p w14:paraId="7D227BDF"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530 EUR</w:t>
            </w:r>
          </w:p>
        </w:tc>
        <w:tc>
          <w:tcPr>
            <w:tcW w:w="2740" w:type="dxa"/>
            <w:shd w:val="clear" w:color="auto" w:fill="auto"/>
            <w:vAlign w:val="center"/>
          </w:tcPr>
          <w:p w14:paraId="2EF720F5"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610 EUR</w:t>
            </w:r>
          </w:p>
        </w:tc>
      </w:tr>
      <w:tr w:rsidR="007D1159" w:rsidRPr="0010190B" w14:paraId="1255FAE0" w14:textId="77777777" w:rsidTr="00FF33F6">
        <w:trPr>
          <w:cantSplit/>
          <w:trHeight w:val="333"/>
        </w:trPr>
        <w:tc>
          <w:tcPr>
            <w:tcW w:w="2418" w:type="dxa"/>
            <w:shd w:val="clear" w:color="auto" w:fill="auto"/>
            <w:vAlign w:val="center"/>
          </w:tcPr>
          <w:p w14:paraId="0AFFD717"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Între 4000 și 7999 KM</w:t>
            </w:r>
          </w:p>
        </w:tc>
        <w:tc>
          <w:tcPr>
            <w:tcW w:w="2845" w:type="dxa"/>
            <w:shd w:val="clear" w:color="auto" w:fill="auto"/>
            <w:vAlign w:val="center"/>
          </w:tcPr>
          <w:p w14:paraId="13EB52D1"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820 EUR</w:t>
            </w:r>
          </w:p>
        </w:tc>
        <w:tc>
          <w:tcPr>
            <w:tcW w:w="2740" w:type="dxa"/>
            <w:shd w:val="clear" w:color="auto" w:fill="AEAAAA"/>
            <w:vAlign w:val="center"/>
          </w:tcPr>
          <w:p w14:paraId="45D4DE03" w14:textId="77777777" w:rsidR="007D1159" w:rsidRPr="0010190B" w:rsidRDefault="007D1159" w:rsidP="00FF33F6">
            <w:pPr>
              <w:pStyle w:val="ListParagraph"/>
              <w:keepLines/>
              <w:widowControl w:val="0"/>
              <w:ind w:left="0"/>
              <w:jc w:val="center"/>
              <w:rPr>
                <w:b/>
                <w:bCs/>
                <w:sz w:val="22"/>
                <w:lang w:val="ro-RO"/>
              </w:rPr>
            </w:pPr>
          </w:p>
        </w:tc>
      </w:tr>
      <w:tr w:rsidR="007D1159" w:rsidRPr="0010190B" w14:paraId="1096921F" w14:textId="77777777" w:rsidTr="00FF33F6">
        <w:trPr>
          <w:cantSplit/>
          <w:trHeight w:val="333"/>
        </w:trPr>
        <w:tc>
          <w:tcPr>
            <w:tcW w:w="2418" w:type="dxa"/>
            <w:shd w:val="clear" w:color="auto" w:fill="auto"/>
            <w:vAlign w:val="center"/>
          </w:tcPr>
          <w:p w14:paraId="0786186E"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8000 KM sau mai mult</w:t>
            </w:r>
          </w:p>
        </w:tc>
        <w:tc>
          <w:tcPr>
            <w:tcW w:w="2845" w:type="dxa"/>
            <w:shd w:val="clear" w:color="auto" w:fill="auto"/>
            <w:vAlign w:val="center"/>
          </w:tcPr>
          <w:p w14:paraId="3E63D827" w14:textId="77777777" w:rsidR="007D1159" w:rsidRPr="0010190B" w:rsidRDefault="007D1159" w:rsidP="00FF33F6">
            <w:pPr>
              <w:pStyle w:val="ListParagraph"/>
              <w:keepLines/>
              <w:widowControl w:val="0"/>
              <w:ind w:left="0"/>
              <w:jc w:val="center"/>
              <w:rPr>
                <w:b/>
                <w:bCs/>
                <w:sz w:val="22"/>
                <w:lang w:val="ro-RO"/>
              </w:rPr>
            </w:pPr>
            <w:r w:rsidRPr="0010190B">
              <w:rPr>
                <w:b/>
                <w:bCs/>
                <w:sz w:val="22"/>
                <w:lang w:val="ro-RO"/>
              </w:rPr>
              <w:t>1500 EUR</w:t>
            </w:r>
          </w:p>
        </w:tc>
        <w:tc>
          <w:tcPr>
            <w:tcW w:w="2740" w:type="dxa"/>
            <w:shd w:val="clear" w:color="auto" w:fill="AEAAAA"/>
            <w:vAlign w:val="center"/>
          </w:tcPr>
          <w:p w14:paraId="17681FBF" w14:textId="77777777" w:rsidR="007D1159" w:rsidRPr="0010190B" w:rsidRDefault="007D1159" w:rsidP="00FF33F6">
            <w:pPr>
              <w:pStyle w:val="ListParagraph"/>
              <w:keepLines/>
              <w:widowControl w:val="0"/>
              <w:ind w:left="0"/>
              <w:jc w:val="center"/>
              <w:rPr>
                <w:b/>
                <w:bCs/>
                <w:sz w:val="22"/>
                <w:lang w:val="ro-RO"/>
              </w:rPr>
            </w:pPr>
          </w:p>
        </w:tc>
      </w:tr>
    </w:tbl>
    <w:p w14:paraId="4CE0897B" w14:textId="15662FDF" w:rsidR="007D1159" w:rsidRDefault="007D1159" w:rsidP="007D1159">
      <w:pPr>
        <w:pStyle w:val="ListParagraph"/>
        <w:keepLines/>
        <w:widowControl w:val="0"/>
        <w:spacing w:after="120"/>
        <w:contextualSpacing w:val="0"/>
        <w:jc w:val="both"/>
        <w:rPr>
          <w:bCs/>
          <w:lang w:val="ro-RO"/>
        </w:rPr>
      </w:pPr>
    </w:p>
    <w:p w14:paraId="0C47341D" w14:textId="36DCE7F4" w:rsidR="007D1159" w:rsidRDefault="007D1159" w:rsidP="007D1159">
      <w:pPr>
        <w:pStyle w:val="ListParagraph"/>
        <w:keepLines/>
        <w:widowControl w:val="0"/>
        <w:spacing w:after="120"/>
        <w:contextualSpacing w:val="0"/>
        <w:jc w:val="both"/>
        <w:rPr>
          <w:bCs/>
          <w:lang w:val="ro-RO"/>
        </w:rPr>
      </w:pPr>
    </w:p>
    <w:p w14:paraId="53BB3DF4" w14:textId="64282803" w:rsidR="007D1159" w:rsidRDefault="007D1159" w:rsidP="007D1159">
      <w:pPr>
        <w:pStyle w:val="ListParagraph"/>
        <w:keepLines/>
        <w:widowControl w:val="0"/>
        <w:spacing w:after="120"/>
        <w:contextualSpacing w:val="0"/>
        <w:jc w:val="both"/>
        <w:rPr>
          <w:bCs/>
          <w:lang w:val="ro-RO"/>
        </w:rPr>
      </w:pPr>
    </w:p>
    <w:p w14:paraId="7393EACE" w14:textId="5EDE48A4" w:rsidR="007D1159" w:rsidRDefault="007D1159" w:rsidP="007D1159">
      <w:pPr>
        <w:pStyle w:val="ListParagraph"/>
        <w:keepLines/>
        <w:widowControl w:val="0"/>
        <w:spacing w:after="120"/>
        <w:contextualSpacing w:val="0"/>
        <w:jc w:val="both"/>
        <w:rPr>
          <w:bCs/>
          <w:lang w:val="ro-RO"/>
        </w:rPr>
      </w:pPr>
    </w:p>
    <w:p w14:paraId="1095A6CE" w14:textId="3E062A58" w:rsidR="007D1159" w:rsidRDefault="007D1159" w:rsidP="007D1159">
      <w:pPr>
        <w:pStyle w:val="ListParagraph"/>
        <w:keepLines/>
        <w:widowControl w:val="0"/>
        <w:spacing w:after="120"/>
        <w:contextualSpacing w:val="0"/>
        <w:jc w:val="both"/>
        <w:rPr>
          <w:bCs/>
          <w:lang w:val="ro-RO"/>
        </w:rPr>
      </w:pPr>
    </w:p>
    <w:p w14:paraId="0D9345D1" w14:textId="05043C8B" w:rsidR="007D1159" w:rsidRDefault="007D1159" w:rsidP="007D1159">
      <w:pPr>
        <w:pStyle w:val="ListParagraph"/>
        <w:keepLines/>
        <w:widowControl w:val="0"/>
        <w:spacing w:after="120"/>
        <w:contextualSpacing w:val="0"/>
        <w:jc w:val="both"/>
        <w:rPr>
          <w:bCs/>
          <w:lang w:val="ro-RO"/>
        </w:rPr>
      </w:pPr>
    </w:p>
    <w:p w14:paraId="0E9349C9" w14:textId="001C0A4B" w:rsidR="007D1159" w:rsidRDefault="007D1159" w:rsidP="007D1159">
      <w:pPr>
        <w:pStyle w:val="ListParagraph"/>
        <w:keepLines/>
        <w:widowControl w:val="0"/>
        <w:spacing w:after="120"/>
        <w:contextualSpacing w:val="0"/>
        <w:jc w:val="both"/>
        <w:rPr>
          <w:bCs/>
          <w:lang w:val="ro-RO"/>
        </w:rPr>
      </w:pPr>
    </w:p>
    <w:p w14:paraId="4EC39784" w14:textId="77777777" w:rsidR="007D1159" w:rsidRPr="007D1159" w:rsidRDefault="007D1159" w:rsidP="007D1159">
      <w:pPr>
        <w:pStyle w:val="ListParagraph"/>
        <w:keepLines/>
        <w:widowControl w:val="0"/>
        <w:spacing w:after="120"/>
        <w:contextualSpacing w:val="0"/>
        <w:jc w:val="both"/>
        <w:rPr>
          <w:bCs/>
          <w:lang w:val="ro-RO"/>
        </w:rPr>
      </w:pPr>
    </w:p>
    <w:p w14:paraId="24FF070E" w14:textId="68D95A1B" w:rsidR="00C84DE9" w:rsidRDefault="00C84DE9" w:rsidP="00EF6191">
      <w:pPr>
        <w:pStyle w:val="ListParagraph"/>
        <w:keepLines/>
        <w:widowControl w:val="0"/>
        <w:numPr>
          <w:ilvl w:val="0"/>
          <w:numId w:val="24"/>
        </w:numPr>
        <w:spacing w:after="120"/>
        <w:contextualSpacing w:val="0"/>
        <w:jc w:val="both"/>
        <w:rPr>
          <w:lang w:val="ro-RO"/>
        </w:rPr>
      </w:pPr>
      <w:r w:rsidRPr="00907D0E">
        <w:rPr>
          <w:b/>
          <w:lang w:val="ro-RO"/>
        </w:rPr>
        <w:t>pentru</w:t>
      </w:r>
      <w:r w:rsidRPr="00907D0E">
        <w:rPr>
          <w:b/>
          <w:bCs/>
          <w:lang w:val="ro-RO"/>
        </w:rPr>
        <w:t xml:space="preserve"> </w:t>
      </w:r>
      <w:r w:rsidR="00897649">
        <w:rPr>
          <w:b/>
          <w:lang w:val="ro-RO"/>
        </w:rPr>
        <w:t>studenţii</w:t>
      </w:r>
      <w:r>
        <w:rPr>
          <w:b/>
          <w:lang w:val="ro-RO"/>
        </w:rPr>
        <w:t xml:space="preserve"> </w:t>
      </w:r>
      <w:r w:rsidR="00897649" w:rsidRPr="00897649">
        <w:rPr>
          <w:b/>
          <w:lang w:val="ro-RO"/>
        </w:rPr>
        <w:t xml:space="preserve">care efectuează mobilităţi </w:t>
      </w:r>
      <w:r w:rsidR="00EF6191" w:rsidRPr="00EF6191">
        <w:rPr>
          <w:b/>
          <w:lang w:val="ro-RO"/>
        </w:rPr>
        <w:t>finanțate prin dimensiunea internaţională a proiectelor anuale KA131-HED</w:t>
      </w:r>
      <w:r w:rsidR="00897649">
        <w:t xml:space="preserve">, </w:t>
      </w:r>
      <w:r w:rsidR="00897649" w:rsidRPr="006C4561">
        <w:rPr>
          <w:noProof/>
          <w:lang w:val="ro-RO"/>
        </w:rPr>
        <w:t xml:space="preserve">care nu primesc sprijin separat </w:t>
      </w:r>
      <w:r w:rsidR="00427D05">
        <w:rPr>
          <w:noProof/>
          <w:lang w:val="ro-RO"/>
        </w:rPr>
        <w:t xml:space="preserve">(grant) </w:t>
      </w:r>
      <w:r w:rsidR="00897649" w:rsidRPr="006C4561">
        <w:rPr>
          <w:noProof/>
          <w:lang w:val="ro-RO"/>
        </w:rPr>
        <w:t xml:space="preserve">pentru transport şi care utilizează mijloace de transport din categoria </w:t>
      </w:r>
      <w:r w:rsidR="00897649" w:rsidRPr="009D2A31">
        <w:rPr>
          <w:b/>
          <w:noProof/>
          <w:lang w:val="ro-RO"/>
        </w:rPr>
        <w:t>„green travel”</w:t>
      </w:r>
      <w:r w:rsidR="00897649" w:rsidRPr="006C4561">
        <w:rPr>
          <w:noProof/>
          <w:lang w:val="ro-RO"/>
        </w:rPr>
        <w:t xml:space="preserve"> pentru efectuarea deplasării, aceştia vor primi o singură contribuţie de </w:t>
      </w:r>
      <w:r w:rsidR="00897649" w:rsidRPr="00E22DAB">
        <w:rPr>
          <w:b/>
          <w:noProof/>
          <w:lang w:val="ro-RO"/>
        </w:rPr>
        <w:t>50 Euro</w:t>
      </w:r>
      <w:r w:rsidR="00897649" w:rsidRPr="006C4561">
        <w:rPr>
          <w:noProof/>
          <w:lang w:val="ro-RO"/>
        </w:rPr>
        <w:t xml:space="preserve"> ca sumă suplimentară (top-up) pentru sprijin individual, dacă este cazul;</w:t>
      </w:r>
    </w:p>
    <w:p w14:paraId="52DB0FAC" w14:textId="2128E639" w:rsidR="00427D05" w:rsidRPr="00427D05" w:rsidRDefault="00427D05" w:rsidP="00427D05">
      <w:pPr>
        <w:pStyle w:val="ListParagraph"/>
        <w:keepLines/>
        <w:widowControl w:val="0"/>
        <w:numPr>
          <w:ilvl w:val="0"/>
          <w:numId w:val="24"/>
        </w:numPr>
        <w:spacing w:after="120"/>
        <w:ind w:left="714" w:hanging="357"/>
        <w:contextualSpacing w:val="0"/>
        <w:jc w:val="both"/>
        <w:rPr>
          <w:bCs/>
          <w:lang w:val="ro-RO"/>
        </w:rPr>
      </w:pPr>
      <w:r w:rsidRPr="009F1287">
        <w:rPr>
          <w:b/>
          <w:bCs/>
          <w:noProof/>
          <w:lang w:val="ro-RO"/>
        </w:rPr>
        <w:t>cu cuantumul aferent a maximum 4 zile de sprijin individual suplimentar</w:t>
      </w:r>
      <w:r w:rsidRPr="009F1287">
        <w:rPr>
          <w:noProof/>
          <w:lang w:val="ro-RO"/>
        </w:rPr>
        <w:t xml:space="preserve"> (în afara perioadei de mobilitate), dacă este cazul, pentru efectuarea călătoriei dus-întors, </w:t>
      </w:r>
      <w:r>
        <w:rPr>
          <w:noProof/>
          <w:lang w:val="ro-RO"/>
        </w:rPr>
        <w:t>pentru studenții</w:t>
      </w:r>
      <w:r w:rsidRPr="009F1287">
        <w:rPr>
          <w:noProof/>
          <w:lang w:val="ro-RO"/>
        </w:rPr>
        <w:t xml:space="preserve"> care </w:t>
      </w:r>
      <w:r w:rsidR="00E178D1">
        <w:rPr>
          <w:lang w:val="ro-RO"/>
        </w:rPr>
        <w:t>optează pentru utilizarea</w:t>
      </w:r>
      <w:r w:rsidR="00E178D1" w:rsidRPr="009F1287">
        <w:rPr>
          <w:noProof/>
          <w:lang w:val="ro-RO"/>
        </w:rPr>
        <w:t xml:space="preserve"> </w:t>
      </w:r>
      <w:r w:rsidRPr="009F1287">
        <w:rPr>
          <w:noProof/>
          <w:lang w:val="ro-RO"/>
        </w:rPr>
        <w:t>un</w:t>
      </w:r>
      <w:r w:rsidR="00E178D1">
        <w:rPr>
          <w:noProof/>
          <w:lang w:val="ro-RO"/>
        </w:rPr>
        <w:t>ui</w:t>
      </w:r>
      <w:r w:rsidRPr="009F1287">
        <w:rPr>
          <w:noProof/>
          <w:lang w:val="ro-RO"/>
        </w:rPr>
        <w:t xml:space="preserve"> mijloc</w:t>
      </w:r>
      <w:r w:rsidRPr="00395475">
        <w:rPr>
          <w:noProof/>
          <w:lang w:val="ro-RO"/>
        </w:rPr>
        <w:t xml:space="preserve"> de </w:t>
      </w:r>
      <w:r w:rsidRPr="00395475">
        <w:rPr>
          <w:bCs/>
          <w:noProof/>
          <w:lang w:val="ro-RO"/>
        </w:rPr>
        <w:t xml:space="preserve">transport din categoria </w:t>
      </w:r>
      <w:r w:rsidRPr="009F1287">
        <w:rPr>
          <w:b/>
          <w:bCs/>
          <w:noProof/>
          <w:lang w:val="ro-RO"/>
        </w:rPr>
        <w:t>„green travel”</w:t>
      </w:r>
      <w:r w:rsidRPr="00427D05">
        <w:rPr>
          <w:bCs/>
          <w:noProof/>
          <w:lang w:val="ro-RO"/>
        </w:rPr>
        <w:t>;</w:t>
      </w:r>
    </w:p>
    <w:p w14:paraId="3EDAFEA9" w14:textId="5C7362BD" w:rsidR="000837DC" w:rsidRPr="000837DC" w:rsidRDefault="000837DC" w:rsidP="000837DC">
      <w:pPr>
        <w:keepLines/>
        <w:widowControl w:val="0"/>
        <w:numPr>
          <w:ilvl w:val="0"/>
          <w:numId w:val="24"/>
        </w:numPr>
        <w:spacing w:after="120"/>
        <w:jc w:val="both"/>
        <w:rPr>
          <w:noProof/>
          <w:lang w:val="ro-RO"/>
        </w:rPr>
      </w:pPr>
      <w:r w:rsidRPr="009F1287">
        <w:rPr>
          <w:noProof/>
          <w:lang w:val="ro-RO"/>
        </w:rPr>
        <w:t xml:space="preserve">cu sumele acordate pe principiul costurilor reale, pentru </w:t>
      </w:r>
      <w:r w:rsidRPr="009F1287">
        <w:rPr>
          <w:b/>
          <w:bCs/>
          <w:noProof/>
          <w:lang w:val="ro-RO"/>
        </w:rPr>
        <w:t>participanții cu nevoi speciale</w:t>
      </w:r>
      <w:r w:rsidRPr="009F1287">
        <w:rPr>
          <w:noProof/>
          <w:lang w:val="ro-RO"/>
        </w:rPr>
        <w:t>, a căror condiție fizică, mentală sau de sănătate este de așa natură încât participarea la mobilitate nu este posibilă fără sprijin suplimentar, care necesită efectuarea unei vizite pregătitoare în vederea participării la mobilitate, precum și în cazul în care necesită însoțitor pe durata mobilității</w:t>
      </w:r>
      <w:r>
        <w:rPr>
          <w:noProof/>
          <w:lang w:val="ro-RO"/>
        </w:rPr>
        <w:t>.</w:t>
      </w:r>
    </w:p>
    <w:p w14:paraId="52946F68" w14:textId="77777777" w:rsidR="008D1A20" w:rsidRPr="00136BBC" w:rsidRDefault="008D1A20" w:rsidP="00806ED1">
      <w:pPr>
        <w:keepLines/>
        <w:widowControl w:val="0"/>
        <w:jc w:val="both"/>
        <w:rPr>
          <w:b/>
          <w:highlight w:val="cyan"/>
          <w:lang w:val="ro-RO"/>
        </w:rPr>
      </w:pPr>
    </w:p>
    <w:p w14:paraId="2382C94A" w14:textId="77777777" w:rsidR="008D1A20" w:rsidRPr="00136BBC" w:rsidRDefault="008D1A20" w:rsidP="00806ED1">
      <w:pPr>
        <w:keepLines/>
        <w:widowControl w:val="0"/>
        <w:jc w:val="both"/>
        <w:rPr>
          <w:b/>
          <w:lang w:val="ro-RO"/>
        </w:rPr>
      </w:pPr>
      <w:r w:rsidRPr="008927C5">
        <w:rPr>
          <w:b/>
          <w:highlight w:val="cyan"/>
          <w:lang w:val="ro-RO"/>
        </w:rPr>
        <w:t>Recunoaștere</w:t>
      </w:r>
    </w:p>
    <w:p w14:paraId="6B70F3EC" w14:textId="77777777" w:rsidR="008D1A20" w:rsidRPr="00136BBC" w:rsidRDefault="008D1A20" w:rsidP="009238CE">
      <w:pPr>
        <w:keepLines/>
        <w:widowControl w:val="0"/>
        <w:spacing w:before="120"/>
        <w:jc w:val="both"/>
        <w:rPr>
          <w:lang w:val="ro-RO"/>
        </w:rPr>
      </w:pPr>
      <w:r w:rsidRPr="00136BBC">
        <w:rPr>
          <w:lang w:val="ro-RO"/>
        </w:rPr>
        <w:t>Absența de la ore în perioada mobilității va fi motivată, iar creditele ECTS obținute în urma mobilității vor fi recunoscute.</w:t>
      </w:r>
    </w:p>
    <w:p w14:paraId="15850FC8" w14:textId="2104D411" w:rsidR="007B00EE" w:rsidRDefault="007B00EE">
      <w:pPr>
        <w:rPr>
          <w:b/>
          <w:highlight w:val="cyan"/>
          <w:lang w:val="ro-RO"/>
        </w:rPr>
      </w:pPr>
    </w:p>
    <w:p w14:paraId="325C22E7" w14:textId="48559013" w:rsidR="00E934C9" w:rsidRPr="00136BBC" w:rsidRDefault="00E934C9" w:rsidP="00806ED1">
      <w:pPr>
        <w:keepLines/>
        <w:widowControl w:val="0"/>
        <w:spacing w:after="120"/>
        <w:jc w:val="both"/>
        <w:rPr>
          <w:b/>
          <w:lang w:val="ro-RO"/>
        </w:rPr>
      </w:pPr>
      <w:r w:rsidRPr="008927C5">
        <w:rPr>
          <w:b/>
          <w:highlight w:val="cyan"/>
          <w:lang w:val="ro-RO"/>
        </w:rPr>
        <w:t>Pentru informații suplimentare se recomandă:</w:t>
      </w:r>
    </w:p>
    <w:p w14:paraId="3D8B099A" w14:textId="77777777" w:rsidR="006F700C" w:rsidRPr="00136BBC" w:rsidRDefault="00E934C9" w:rsidP="0093570A">
      <w:pPr>
        <w:pStyle w:val="ListParagraph"/>
        <w:keepLines/>
        <w:widowControl w:val="0"/>
        <w:numPr>
          <w:ilvl w:val="0"/>
          <w:numId w:val="12"/>
        </w:numPr>
        <w:spacing w:after="240"/>
        <w:ind w:left="567" w:hanging="357"/>
        <w:contextualSpacing w:val="0"/>
        <w:jc w:val="both"/>
        <w:rPr>
          <w:bCs/>
          <w:lang w:val="ro-RO"/>
        </w:rPr>
      </w:pPr>
      <w:r w:rsidRPr="00136BBC">
        <w:rPr>
          <w:bCs/>
          <w:lang w:val="ro-RO"/>
        </w:rPr>
        <w:t xml:space="preserve">Participarea la sesiunile de informare </w:t>
      </w:r>
      <w:r w:rsidR="006F700C" w:rsidRPr="00136BBC">
        <w:rPr>
          <w:bCs/>
          <w:lang w:val="ro-RO"/>
        </w:rPr>
        <w:t>pre și post selecție;</w:t>
      </w:r>
    </w:p>
    <w:p w14:paraId="7382FCA8" w14:textId="4F0A04F4" w:rsidR="00C07D77" w:rsidRPr="00136BBC" w:rsidRDefault="00E934C9" w:rsidP="0093570A">
      <w:pPr>
        <w:pStyle w:val="ListParagraph"/>
        <w:keepLines/>
        <w:widowControl w:val="0"/>
        <w:numPr>
          <w:ilvl w:val="0"/>
          <w:numId w:val="12"/>
        </w:numPr>
        <w:spacing w:after="240"/>
        <w:ind w:left="567" w:hanging="357"/>
        <w:contextualSpacing w:val="0"/>
        <w:jc w:val="both"/>
        <w:rPr>
          <w:b/>
          <w:lang w:val="ro-RO"/>
        </w:rPr>
      </w:pPr>
      <w:r w:rsidRPr="00136BBC">
        <w:rPr>
          <w:lang w:val="ro-RO"/>
        </w:rPr>
        <w:t xml:space="preserve">Contactarea </w:t>
      </w:r>
      <w:r w:rsidRPr="00136BBC">
        <w:rPr>
          <w:b/>
          <w:lang w:val="ro-RO"/>
        </w:rPr>
        <w:t xml:space="preserve">coordonatorului Erasmus+ pentru mobilități </w:t>
      </w:r>
      <w:r w:rsidR="00620C85" w:rsidRPr="00136BBC">
        <w:rPr>
          <w:b/>
          <w:lang w:val="ro-RO"/>
        </w:rPr>
        <w:t xml:space="preserve">de studiu </w:t>
      </w:r>
      <w:r w:rsidR="00F1756D" w:rsidRPr="00F1756D">
        <w:rPr>
          <w:b/>
          <w:lang w:val="ro-RO"/>
        </w:rPr>
        <w:t xml:space="preserve">și/sau </w:t>
      </w:r>
      <w:r w:rsidRPr="00136BBC">
        <w:rPr>
          <w:b/>
          <w:lang w:val="ro-RO"/>
        </w:rPr>
        <w:t>practică</w:t>
      </w:r>
      <w:r w:rsidRPr="00F1756D">
        <w:rPr>
          <w:bCs/>
          <w:lang w:val="ro-RO"/>
        </w:rPr>
        <w:t>, dna</w:t>
      </w:r>
      <w:r w:rsidR="00335B31">
        <w:rPr>
          <w:bCs/>
          <w:lang w:val="ro-RO"/>
        </w:rPr>
        <w:t>/</w:t>
      </w:r>
      <w:r w:rsidR="002A71E7">
        <w:rPr>
          <w:bCs/>
          <w:lang w:val="ro-RO"/>
        </w:rPr>
        <w:t>dl</w:t>
      </w:r>
      <w:r w:rsidRPr="00F1756D">
        <w:rPr>
          <w:bCs/>
          <w:lang w:val="ro-RO"/>
        </w:rPr>
        <w:t xml:space="preserve"> </w:t>
      </w:r>
      <w:r w:rsidRPr="00F1756D">
        <w:rPr>
          <w:bCs/>
          <w:u w:val="single"/>
          <w:lang w:val="ro-RO"/>
        </w:rPr>
        <w:t xml:space="preserve">______________________________ </w:t>
      </w:r>
      <w:r w:rsidRPr="00136BBC">
        <w:rPr>
          <w:b/>
          <w:lang w:val="ro-RO"/>
        </w:rPr>
        <w:t xml:space="preserve">, </w:t>
      </w:r>
      <w:r w:rsidRPr="00136BBC">
        <w:rPr>
          <w:lang w:val="ro-RO"/>
        </w:rPr>
        <w:t xml:space="preserve"> </w:t>
      </w:r>
      <w:r w:rsidRPr="00136BBC">
        <w:rPr>
          <w:u w:val="single"/>
          <w:lang w:val="ro-RO"/>
        </w:rPr>
        <w:t>______________</w:t>
      </w:r>
      <w:r w:rsidRPr="00136BBC">
        <w:rPr>
          <w:lang w:val="ro-RO"/>
        </w:rPr>
        <w:t>@</w:t>
      </w:r>
      <w:r w:rsidRPr="00136BBC">
        <w:rPr>
          <w:u w:val="single"/>
          <w:lang w:val="ro-RO"/>
        </w:rPr>
        <w:t xml:space="preserve">__________ </w:t>
      </w:r>
      <w:r w:rsidRPr="00136BBC">
        <w:rPr>
          <w:lang w:val="ro-RO"/>
        </w:rPr>
        <w:t xml:space="preserve">, tel. 0232-20----  </w:t>
      </w:r>
      <w:r w:rsidRPr="00136BBC">
        <w:rPr>
          <w:b/>
          <w:lang w:val="ro-RO"/>
        </w:rPr>
        <w:t xml:space="preserve"> </w:t>
      </w:r>
      <w:r w:rsidRPr="00136BBC">
        <w:rPr>
          <w:lang w:val="ro-RO"/>
        </w:rPr>
        <w:t xml:space="preserve">----   sau la  </w:t>
      </w:r>
      <w:r w:rsidR="002E75A5" w:rsidRPr="00136BBC">
        <w:rPr>
          <w:lang w:val="ro-RO"/>
        </w:rPr>
        <w:t>Biroul/</w:t>
      </w:r>
      <w:r w:rsidRPr="00136BBC">
        <w:rPr>
          <w:lang w:val="ro-RO"/>
        </w:rPr>
        <w:t xml:space="preserve">Sala/Laboratorul...... în timpul programului de consultații  .....:...... - ......:..... (informații despre </w:t>
      </w:r>
      <w:r w:rsidRPr="00136BBC">
        <w:rPr>
          <w:b/>
          <w:lang w:val="ro-RO"/>
        </w:rPr>
        <w:t>procedura de selecție</w:t>
      </w:r>
      <w:r w:rsidRPr="00136BBC">
        <w:rPr>
          <w:lang w:val="ro-RO"/>
        </w:rPr>
        <w:t xml:space="preserve">, </w:t>
      </w:r>
      <w:r w:rsidRPr="00136BBC">
        <w:rPr>
          <w:b/>
          <w:lang w:val="ro-RO"/>
        </w:rPr>
        <w:t>oferta de practică (sarcini, responsabilități, activități), eligibilitate, dosarul de candidatură</w:t>
      </w:r>
      <w:r w:rsidR="003B30C0">
        <w:rPr>
          <w:lang w:val="ro-RO"/>
        </w:rPr>
        <w:t>;</w:t>
      </w:r>
      <w:bookmarkStart w:id="1" w:name="_GoBack"/>
      <w:bookmarkEnd w:id="1"/>
    </w:p>
    <w:p w14:paraId="09EE0259" w14:textId="6BCF3135" w:rsidR="00C07D77" w:rsidRPr="0067638B" w:rsidRDefault="00E934C9" w:rsidP="006E4D14">
      <w:pPr>
        <w:pStyle w:val="ListParagraph"/>
        <w:keepLines/>
        <w:widowControl w:val="0"/>
        <w:numPr>
          <w:ilvl w:val="0"/>
          <w:numId w:val="12"/>
        </w:numPr>
        <w:spacing w:after="240"/>
        <w:ind w:left="567" w:hanging="357"/>
        <w:contextualSpacing w:val="0"/>
        <w:jc w:val="both"/>
        <w:rPr>
          <w:b/>
          <w:lang w:val="ro-RO"/>
        </w:rPr>
      </w:pPr>
      <w:r w:rsidRPr="00136BBC">
        <w:rPr>
          <w:lang w:val="ro-RO"/>
        </w:rPr>
        <w:t>Contactarea Biroului Erasmus+ din cadrul Serviciului Relații Internaționale, Rectorat</w:t>
      </w:r>
      <w:r w:rsidR="00620C85" w:rsidRPr="00136BBC">
        <w:rPr>
          <w:lang w:val="ro-RO"/>
        </w:rPr>
        <w:t>:</w:t>
      </w:r>
      <w:r w:rsidR="002A71E7">
        <w:rPr>
          <w:lang w:val="ro-RO"/>
        </w:rPr>
        <w:t xml:space="preserve"> dna</w:t>
      </w:r>
      <w:r w:rsidR="00C07D77" w:rsidRPr="00136BBC">
        <w:rPr>
          <w:lang w:val="ro-RO"/>
        </w:rPr>
        <w:t xml:space="preserve"> </w:t>
      </w:r>
      <w:r w:rsidR="00C07D77" w:rsidRPr="00F1756D">
        <w:rPr>
          <w:bCs/>
          <w:lang w:val="ro-RO"/>
        </w:rPr>
        <w:t>Otilia MATEI</w:t>
      </w:r>
      <w:r w:rsidR="00C07D77" w:rsidRPr="00136BBC">
        <w:rPr>
          <w:lang w:val="ro-RO"/>
        </w:rPr>
        <w:t xml:space="preserve">, </w:t>
      </w:r>
      <w:hyperlink r:id="rId17" w:history="1">
        <w:r w:rsidR="00C07D77" w:rsidRPr="00136BBC">
          <w:rPr>
            <w:rStyle w:val="Hyperlink"/>
            <w:lang w:val="ro-RO"/>
          </w:rPr>
          <w:t>otilia.matei@uaic.ro</w:t>
        </w:r>
      </w:hyperlink>
      <w:r w:rsidR="00C07D77" w:rsidRPr="00136BBC">
        <w:rPr>
          <w:lang w:val="ro-RO"/>
        </w:rPr>
        <w:t xml:space="preserve">, tel. 0232-201021 (informații despre </w:t>
      </w:r>
      <w:r w:rsidR="00C07D77" w:rsidRPr="00136BBC">
        <w:rPr>
          <w:b/>
          <w:lang w:val="ro-RO"/>
        </w:rPr>
        <w:t>dosarul de candidatură, eligibilitate, formalități deplasare, contract financiar, documente post-stagiu etc.</w:t>
      </w:r>
      <w:r w:rsidR="00C07D77" w:rsidRPr="00136BBC">
        <w:rPr>
          <w:lang w:val="ro-RO"/>
        </w:rPr>
        <w:t>)</w:t>
      </w:r>
    </w:p>
    <w:p w14:paraId="069F9F71" w14:textId="1BCF1759" w:rsidR="0067638B" w:rsidRDefault="0067638B">
      <w:pPr>
        <w:rPr>
          <w:lang w:val="ro-RO"/>
        </w:rPr>
      </w:pPr>
      <w:r>
        <w:rPr>
          <w:lang w:val="ro-RO"/>
        </w:rPr>
        <w:br w:type="page"/>
      </w:r>
    </w:p>
    <w:p w14:paraId="3B40012C" w14:textId="77777777" w:rsidR="0067638B" w:rsidRPr="00907460" w:rsidRDefault="0067638B" w:rsidP="0067638B">
      <w:pPr>
        <w:pStyle w:val="ListParagraph"/>
        <w:keepLines/>
        <w:widowControl w:val="0"/>
        <w:spacing w:after="240"/>
        <w:ind w:left="357"/>
        <w:contextualSpacing w:val="0"/>
        <w:jc w:val="right"/>
        <w:rPr>
          <w:b/>
          <w:lang w:val="ro-RO"/>
        </w:rPr>
      </w:pPr>
      <w:r w:rsidRPr="00907460">
        <w:rPr>
          <w:b/>
          <w:lang w:val="ro-RO"/>
        </w:rPr>
        <w:lastRenderedPageBreak/>
        <w:t>ANEXA 1</w:t>
      </w:r>
    </w:p>
    <w:p w14:paraId="2179C9E2" w14:textId="77777777" w:rsidR="0067638B" w:rsidRDefault="0067638B" w:rsidP="0067638B">
      <w:pPr>
        <w:rPr>
          <w:b/>
          <w:lang w:val="ro-RO"/>
        </w:rPr>
      </w:pPr>
      <w:r w:rsidRPr="00C70D41">
        <w:rPr>
          <w:b/>
          <w:lang w:val="ro-RO"/>
        </w:rPr>
        <w:t>Țările terțe care nu sunt asociate la Program</w:t>
      </w:r>
      <w:r>
        <w:rPr>
          <w:b/>
          <w:lang w:val="ro-RO"/>
        </w:rPr>
        <w:t>ul Erasmus+</w:t>
      </w:r>
    </w:p>
    <w:p w14:paraId="5842A5DD" w14:textId="77777777" w:rsidR="0067638B" w:rsidRDefault="0067638B" w:rsidP="0067638B">
      <w:pPr>
        <w:rPr>
          <w:lang w:val="ro-RO"/>
        </w:rPr>
      </w:pPr>
    </w:p>
    <w:tbl>
      <w:tblPr>
        <w:tblStyle w:val="TableGrid"/>
        <w:tblW w:w="9810" w:type="dxa"/>
        <w:tblInd w:w="-5" w:type="dxa"/>
        <w:tblLook w:val="04A0" w:firstRow="1" w:lastRow="0" w:firstColumn="1" w:lastColumn="0" w:noHBand="0" w:noVBand="1"/>
      </w:tblPr>
      <w:tblGrid>
        <w:gridCol w:w="2127"/>
        <w:gridCol w:w="7683"/>
      </w:tblGrid>
      <w:tr w:rsidR="0067638B" w:rsidRPr="00FE5F1B" w14:paraId="3DF268CD" w14:textId="77777777" w:rsidTr="00A10A0D">
        <w:trPr>
          <w:trHeight w:val="624"/>
        </w:trPr>
        <w:tc>
          <w:tcPr>
            <w:tcW w:w="2127" w:type="dxa"/>
            <w:vAlign w:val="center"/>
          </w:tcPr>
          <w:p w14:paraId="0FE1E30F" w14:textId="77777777" w:rsidR="0067638B" w:rsidRPr="00EA5A03" w:rsidRDefault="0067638B" w:rsidP="00A10A0D">
            <w:pPr>
              <w:rPr>
                <w:b/>
                <w:sz w:val="22"/>
                <w:szCs w:val="22"/>
                <w:lang w:val="ro-RO"/>
              </w:rPr>
            </w:pPr>
            <w:r w:rsidRPr="00EA5A03">
              <w:rPr>
                <w:b/>
                <w:sz w:val="22"/>
                <w:szCs w:val="22"/>
                <w:lang w:val="ro-RO"/>
              </w:rPr>
              <w:t>Regiunea 1</w:t>
            </w:r>
          </w:p>
          <w:p w14:paraId="67D06CC5" w14:textId="77777777" w:rsidR="0067638B" w:rsidRPr="00EA5A03" w:rsidRDefault="0067638B" w:rsidP="00A10A0D">
            <w:pPr>
              <w:rPr>
                <w:bCs/>
                <w:sz w:val="22"/>
                <w:szCs w:val="22"/>
                <w:lang w:val="ro-RO"/>
              </w:rPr>
            </w:pPr>
            <w:r w:rsidRPr="00EA5A03">
              <w:rPr>
                <w:bCs/>
                <w:sz w:val="22"/>
                <w:szCs w:val="22"/>
                <w:lang w:val="ro-RO"/>
              </w:rPr>
              <w:t>Balcanii de Vest</w:t>
            </w:r>
          </w:p>
        </w:tc>
        <w:tc>
          <w:tcPr>
            <w:tcW w:w="7683" w:type="dxa"/>
            <w:vAlign w:val="center"/>
          </w:tcPr>
          <w:p w14:paraId="41E9B5DB" w14:textId="77777777" w:rsidR="0067638B" w:rsidRPr="00FE5F1B" w:rsidRDefault="0067638B" w:rsidP="00A10A0D">
            <w:pPr>
              <w:pStyle w:val="ListParagraph"/>
              <w:ind w:left="0"/>
              <w:rPr>
                <w:bCs/>
                <w:sz w:val="22"/>
                <w:szCs w:val="22"/>
                <w:lang w:val="ro-RO"/>
              </w:rPr>
            </w:pPr>
            <w:r w:rsidRPr="00FE5F1B">
              <w:rPr>
                <w:sz w:val="22"/>
                <w:szCs w:val="22"/>
                <w:lang w:val="ro-RO"/>
              </w:rPr>
              <w:t>Albania, Bosnia și Herțegovina, Kosovo, Muntenegru</w:t>
            </w:r>
          </w:p>
        </w:tc>
      </w:tr>
      <w:tr w:rsidR="0067638B" w:rsidRPr="00FE5F1B" w14:paraId="4E737642" w14:textId="77777777" w:rsidTr="00A10A0D">
        <w:trPr>
          <w:trHeight w:val="624"/>
        </w:trPr>
        <w:tc>
          <w:tcPr>
            <w:tcW w:w="2127" w:type="dxa"/>
            <w:vAlign w:val="center"/>
          </w:tcPr>
          <w:p w14:paraId="17AB5CF0" w14:textId="77777777" w:rsidR="0067638B" w:rsidRPr="00EA5A03" w:rsidRDefault="0067638B" w:rsidP="00A10A0D">
            <w:pPr>
              <w:rPr>
                <w:b/>
                <w:sz w:val="22"/>
                <w:szCs w:val="22"/>
                <w:lang w:val="ro-RO"/>
              </w:rPr>
            </w:pPr>
            <w:r w:rsidRPr="00EA5A03">
              <w:rPr>
                <w:b/>
                <w:sz w:val="22"/>
                <w:szCs w:val="22"/>
                <w:lang w:val="ro-RO"/>
              </w:rPr>
              <w:t>Regiunea 2</w:t>
            </w:r>
          </w:p>
          <w:p w14:paraId="24191C36" w14:textId="77777777" w:rsidR="0067638B" w:rsidRPr="00EA5A03" w:rsidRDefault="0067638B" w:rsidP="00A10A0D">
            <w:pPr>
              <w:rPr>
                <w:bCs/>
                <w:sz w:val="22"/>
                <w:szCs w:val="22"/>
                <w:lang w:val="ro-RO"/>
              </w:rPr>
            </w:pPr>
            <w:r w:rsidRPr="00EA5A03">
              <w:rPr>
                <w:bCs/>
                <w:sz w:val="22"/>
                <w:szCs w:val="22"/>
                <w:lang w:val="ro-RO"/>
              </w:rPr>
              <w:t>Vecinătatea estică</w:t>
            </w:r>
          </w:p>
        </w:tc>
        <w:tc>
          <w:tcPr>
            <w:tcW w:w="7683" w:type="dxa"/>
            <w:vAlign w:val="center"/>
          </w:tcPr>
          <w:p w14:paraId="725BFFDB" w14:textId="77777777" w:rsidR="0067638B" w:rsidRPr="00FE5F1B" w:rsidRDefault="0067638B" w:rsidP="00A10A0D">
            <w:pPr>
              <w:rPr>
                <w:sz w:val="22"/>
                <w:szCs w:val="22"/>
                <w:lang w:val="ro-RO"/>
              </w:rPr>
            </w:pPr>
            <w:r w:rsidRPr="00FE5F1B">
              <w:rPr>
                <w:sz w:val="22"/>
                <w:szCs w:val="22"/>
                <w:lang w:val="ro-RO"/>
              </w:rPr>
              <w:t>Armenia, Azerbaidjan, Belarus, Georgia, Moldova, teritoriul Ucrainei, astfel cum este recunoscut de dreptul internațional</w:t>
            </w:r>
          </w:p>
        </w:tc>
      </w:tr>
      <w:tr w:rsidR="0067638B" w:rsidRPr="00FE5F1B" w14:paraId="6A4E3A7A" w14:textId="77777777" w:rsidTr="00A10A0D">
        <w:trPr>
          <w:trHeight w:val="624"/>
        </w:trPr>
        <w:tc>
          <w:tcPr>
            <w:tcW w:w="2127" w:type="dxa"/>
            <w:vAlign w:val="center"/>
          </w:tcPr>
          <w:p w14:paraId="3E8CAC00" w14:textId="77777777" w:rsidR="0067638B" w:rsidRPr="00EA5A03" w:rsidRDefault="0067638B" w:rsidP="00A10A0D">
            <w:pPr>
              <w:rPr>
                <w:b/>
                <w:sz w:val="22"/>
                <w:szCs w:val="22"/>
                <w:lang w:val="ro-RO"/>
              </w:rPr>
            </w:pPr>
            <w:r w:rsidRPr="00EA5A03">
              <w:rPr>
                <w:b/>
                <w:sz w:val="22"/>
                <w:szCs w:val="22"/>
                <w:lang w:val="ro-RO"/>
              </w:rPr>
              <w:t>Regiunea 3</w:t>
            </w:r>
          </w:p>
          <w:p w14:paraId="35AF56AA" w14:textId="77777777" w:rsidR="0067638B" w:rsidRPr="00EA5A03" w:rsidRDefault="0067638B" w:rsidP="00A10A0D">
            <w:pPr>
              <w:rPr>
                <w:bCs/>
                <w:sz w:val="22"/>
                <w:szCs w:val="22"/>
                <w:lang w:val="ro-RO"/>
              </w:rPr>
            </w:pPr>
            <w:r w:rsidRPr="00EA5A03">
              <w:rPr>
                <w:bCs/>
                <w:sz w:val="22"/>
                <w:szCs w:val="22"/>
                <w:lang w:val="ro-RO"/>
              </w:rPr>
              <w:t>Țările submediteraneene</w:t>
            </w:r>
          </w:p>
        </w:tc>
        <w:tc>
          <w:tcPr>
            <w:tcW w:w="7683" w:type="dxa"/>
            <w:vAlign w:val="center"/>
          </w:tcPr>
          <w:p w14:paraId="229C895B" w14:textId="77777777" w:rsidR="0067638B" w:rsidRPr="00FE5F1B" w:rsidRDefault="0067638B" w:rsidP="00A10A0D">
            <w:pPr>
              <w:rPr>
                <w:sz w:val="22"/>
                <w:szCs w:val="22"/>
                <w:lang w:val="ro-RO"/>
              </w:rPr>
            </w:pPr>
            <w:r w:rsidRPr="00FE5F1B">
              <w:rPr>
                <w:sz w:val="22"/>
                <w:szCs w:val="22"/>
                <w:lang w:val="ro-RO"/>
              </w:rPr>
              <w:t>Algeria, Egipt, Israel, Iordania, Liban, Libia, Maroc, Palestina, Siria, Tunisia</w:t>
            </w:r>
          </w:p>
        </w:tc>
      </w:tr>
      <w:tr w:rsidR="0067638B" w:rsidRPr="00FE5F1B" w14:paraId="16485BF2" w14:textId="77777777" w:rsidTr="00A10A0D">
        <w:trPr>
          <w:trHeight w:val="624"/>
        </w:trPr>
        <w:tc>
          <w:tcPr>
            <w:tcW w:w="2127" w:type="dxa"/>
            <w:vAlign w:val="center"/>
          </w:tcPr>
          <w:p w14:paraId="56265307" w14:textId="77777777" w:rsidR="0067638B" w:rsidRPr="00EA5A03" w:rsidRDefault="0067638B" w:rsidP="00A10A0D">
            <w:pPr>
              <w:rPr>
                <w:b/>
                <w:sz w:val="22"/>
                <w:szCs w:val="22"/>
                <w:lang w:val="ro-RO"/>
              </w:rPr>
            </w:pPr>
            <w:r w:rsidRPr="00EA5A03">
              <w:rPr>
                <w:b/>
                <w:sz w:val="22"/>
                <w:szCs w:val="22"/>
                <w:lang w:val="ro-RO"/>
              </w:rPr>
              <w:t>Regiunea 4</w:t>
            </w:r>
          </w:p>
          <w:p w14:paraId="174C2549" w14:textId="77777777" w:rsidR="0067638B" w:rsidRPr="00EA5A03" w:rsidRDefault="0067638B" w:rsidP="00A10A0D">
            <w:pPr>
              <w:rPr>
                <w:bCs/>
                <w:sz w:val="22"/>
                <w:szCs w:val="22"/>
                <w:lang w:val="ro-RO"/>
              </w:rPr>
            </w:pPr>
            <w:r w:rsidRPr="00EA5A03">
              <w:rPr>
                <w:bCs/>
                <w:sz w:val="22"/>
                <w:szCs w:val="22"/>
                <w:lang w:val="ro-RO"/>
              </w:rPr>
              <w:t>Federația Rusă</w:t>
            </w:r>
          </w:p>
        </w:tc>
        <w:tc>
          <w:tcPr>
            <w:tcW w:w="7683" w:type="dxa"/>
            <w:vAlign w:val="center"/>
          </w:tcPr>
          <w:p w14:paraId="5F3F3104" w14:textId="77777777" w:rsidR="0067638B" w:rsidRPr="00FE5F1B" w:rsidRDefault="0067638B" w:rsidP="00A10A0D">
            <w:pPr>
              <w:rPr>
                <w:sz w:val="22"/>
                <w:szCs w:val="22"/>
                <w:lang w:val="ro-RO"/>
              </w:rPr>
            </w:pPr>
            <w:r w:rsidRPr="00FE5F1B">
              <w:rPr>
                <w:sz w:val="22"/>
                <w:szCs w:val="22"/>
                <w:lang w:val="ro-RO"/>
              </w:rPr>
              <w:t>Teritoriul Rusiei, astfel cum este recunoscut de dreptul internațional</w:t>
            </w:r>
          </w:p>
        </w:tc>
      </w:tr>
      <w:tr w:rsidR="0067638B" w:rsidRPr="00FE5F1B" w14:paraId="0363D2DA" w14:textId="77777777" w:rsidTr="00A10A0D">
        <w:trPr>
          <w:trHeight w:val="1474"/>
        </w:trPr>
        <w:tc>
          <w:tcPr>
            <w:tcW w:w="2127" w:type="dxa"/>
            <w:vAlign w:val="center"/>
          </w:tcPr>
          <w:p w14:paraId="70FBFF32" w14:textId="77777777" w:rsidR="0067638B" w:rsidRPr="00EA5A03" w:rsidRDefault="0067638B" w:rsidP="00A10A0D">
            <w:pPr>
              <w:rPr>
                <w:b/>
                <w:sz w:val="22"/>
                <w:szCs w:val="22"/>
                <w:lang w:val="ro-RO"/>
              </w:rPr>
            </w:pPr>
            <w:r w:rsidRPr="00EA5A03">
              <w:rPr>
                <w:b/>
                <w:sz w:val="22"/>
                <w:szCs w:val="22"/>
                <w:lang w:val="ro-RO"/>
              </w:rPr>
              <w:t>Regiunea 5</w:t>
            </w:r>
          </w:p>
          <w:p w14:paraId="0E7A086B" w14:textId="77777777" w:rsidR="0067638B" w:rsidRPr="00EA5A03" w:rsidRDefault="0067638B" w:rsidP="00A10A0D">
            <w:pPr>
              <w:rPr>
                <w:sz w:val="22"/>
                <w:szCs w:val="22"/>
                <w:lang w:val="ro-RO"/>
              </w:rPr>
            </w:pPr>
            <w:r w:rsidRPr="00EA5A03">
              <w:rPr>
                <w:bCs/>
                <w:sz w:val="22"/>
                <w:szCs w:val="22"/>
                <w:lang w:val="ro-RO"/>
              </w:rPr>
              <w:t>Asia</w:t>
            </w:r>
          </w:p>
        </w:tc>
        <w:tc>
          <w:tcPr>
            <w:tcW w:w="7683" w:type="dxa"/>
            <w:vAlign w:val="center"/>
          </w:tcPr>
          <w:p w14:paraId="7AA1B008" w14:textId="77777777" w:rsidR="0067638B" w:rsidRPr="00FE5F1B" w:rsidRDefault="0067638B" w:rsidP="00A10A0D">
            <w:pPr>
              <w:rPr>
                <w:sz w:val="22"/>
                <w:szCs w:val="22"/>
                <w:lang w:val="ro-RO"/>
              </w:rPr>
            </w:pPr>
            <w:r w:rsidRPr="00FE5F1B">
              <w:rPr>
                <w:sz w:val="22"/>
                <w:szCs w:val="22"/>
                <w:lang w:val="ro-RO"/>
              </w:rPr>
              <w:t>Bangladesh, Bhutan, Cambodgia, China, Republica Populară Democrată Coreea, India, Indonezia, Laos, Malaysia, Maldive, Mongolia, Myanmar, Nepal, Pakistan, Filipine, Sri Lanka, Thailanda și Vietnam</w:t>
            </w:r>
          </w:p>
          <w:p w14:paraId="27EB27D5" w14:textId="77777777" w:rsidR="0067638B" w:rsidRPr="00FE5F1B" w:rsidRDefault="0067638B" w:rsidP="00A10A0D">
            <w:pPr>
              <w:spacing w:before="120"/>
              <w:rPr>
                <w:sz w:val="22"/>
                <w:szCs w:val="22"/>
                <w:lang w:val="ro-RO"/>
              </w:rPr>
            </w:pPr>
            <w:r w:rsidRPr="00FE5F1B">
              <w:rPr>
                <w:sz w:val="22"/>
                <w:szCs w:val="22"/>
                <w:lang w:val="ro-RO"/>
              </w:rPr>
              <w:t>Țări cu venituri ridicate: Brunei, Hong Kong, Japonia, Coreea, Macao, Singapore și Taiwan</w:t>
            </w:r>
          </w:p>
        </w:tc>
      </w:tr>
      <w:tr w:rsidR="0067638B" w:rsidRPr="00FE5F1B" w14:paraId="57482BC5" w14:textId="77777777" w:rsidTr="00A10A0D">
        <w:trPr>
          <w:trHeight w:val="624"/>
        </w:trPr>
        <w:tc>
          <w:tcPr>
            <w:tcW w:w="2127" w:type="dxa"/>
            <w:vAlign w:val="center"/>
          </w:tcPr>
          <w:p w14:paraId="279C98B7" w14:textId="77777777" w:rsidR="0067638B" w:rsidRPr="00EA5A03" w:rsidRDefault="0067638B" w:rsidP="00A10A0D">
            <w:pPr>
              <w:rPr>
                <w:b/>
                <w:sz w:val="22"/>
                <w:szCs w:val="22"/>
                <w:lang w:val="ro-RO"/>
              </w:rPr>
            </w:pPr>
            <w:r w:rsidRPr="00EA5A03">
              <w:rPr>
                <w:b/>
                <w:sz w:val="22"/>
                <w:szCs w:val="22"/>
                <w:lang w:val="ro-RO"/>
              </w:rPr>
              <w:t>Regiunea 6</w:t>
            </w:r>
          </w:p>
          <w:p w14:paraId="3D9B5BB4" w14:textId="77777777" w:rsidR="0067638B" w:rsidRPr="00EA5A03" w:rsidRDefault="0067638B" w:rsidP="00A10A0D">
            <w:pPr>
              <w:rPr>
                <w:bCs/>
                <w:sz w:val="22"/>
                <w:szCs w:val="22"/>
                <w:lang w:val="ro-RO"/>
              </w:rPr>
            </w:pPr>
            <w:r w:rsidRPr="00EA5A03">
              <w:rPr>
                <w:bCs/>
                <w:sz w:val="22"/>
                <w:szCs w:val="22"/>
                <w:lang w:val="ro-RO"/>
              </w:rPr>
              <w:t>Asia Centrală</w:t>
            </w:r>
          </w:p>
        </w:tc>
        <w:tc>
          <w:tcPr>
            <w:tcW w:w="7683" w:type="dxa"/>
            <w:vAlign w:val="center"/>
          </w:tcPr>
          <w:p w14:paraId="0C19DD37" w14:textId="77777777" w:rsidR="0067638B" w:rsidRPr="00FE5F1B" w:rsidRDefault="0067638B" w:rsidP="00A10A0D">
            <w:pPr>
              <w:rPr>
                <w:sz w:val="22"/>
                <w:szCs w:val="22"/>
                <w:lang w:val="ro-RO"/>
              </w:rPr>
            </w:pPr>
            <w:r w:rsidRPr="00FE5F1B">
              <w:rPr>
                <w:sz w:val="22"/>
                <w:szCs w:val="22"/>
                <w:lang w:val="ro-RO"/>
              </w:rPr>
              <w:t>Afganistan, Kazahstan, Kârgâzstan, Tadjikistan, Turkmenistan, Uzbekistan</w:t>
            </w:r>
          </w:p>
        </w:tc>
      </w:tr>
      <w:tr w:rsidR="0067638B" w:rsidRPr="00FE5F1B" w14:paraId="3862C5A9" w14:textId="77777777" w:rsidTr="00A10A0D">
        <w:trPr>
          <w:trHeight w:val="964"/>
        </w:trPr>
        <w:tc>
          <w:tcPr>
            <w:tcW w:w="2127" w:type="dxa"/>
            <w:vAlign w:val="center"/>
          </w:tcPr>
          <w:p w14:paraId="06C40587" w14:textId="77777777" w:rsidR="0067638B" w:rsidRPr="00EA5A03" w:rsidRDefault="0067638B" w:rsidP="00A10A0D">
            <w:pPr>
              <w:rPr>
                <w:b/>
                <w:sz w:val="22"/>
                <w:szCs w:val="22"/>
                <w:lang w:val="ro-RO"/>
              </w:rPr>
            </w:pPr>
            <w:r w:rsidRPr="00EA5A03">
              <w:rPr>
                <w:b/>
                <w:sz w:val="22"/>
                <w:szCs w:val="22"/>
                <w:lang w:val="ro-RO"/>
              </w:rPr>
              <w:t>Regiunea 7</w:t>
            </w:r>
          </w:p>
          <w:p w14:paraId="2914C12B" w14:textId="77777777" w:rsidR="0067638B" w:rsidRPr="00EA5A03" w:rsidRDefault="0067638B" w:rsidP="00A10A0D">
            <w:pPr>
              <w:rPr>
                <w:bCs/>
                <w:sz w:val="22"/>
                <w:szCs w:val="22"/>
                <w:lang w:val="ro-RO"/>
              </w:rPr>
            </w:pPr>
            <w:r w:rsidRPr="00EA5A03">
              <w:rPr>
                <w:bCs/>
                <w:sz w:val="22"/>
                <w:szCs w:val="22"/>
                <w:lang w:val="ro-RO"/>
              </w:rPr>
              <w:t>Orientul Mijlociu</w:t>
            </w:r>
          </w:p>
        </w:tc>
        <w:tc>
          <w:tcPr>
            <w:tcW w:w="7683" w:type="dxa"/>
            <w:vAlign w:val="center"/>
          </w:tcPr>
          <w:p w14:paraId="1C436025" w14:textId="77777777" w:rsidR="0067638B" w:rsidRPr="00FE5F1B" w:rsidRDefault="0067638B" w:rsidP="00A10A0D">
            <w:pPr>
              <w:rPr>
                <w:sz w:val="22"/>
                <w:szCs w:val="22"/>
                <w:lang w:val="ro-RO"/>
              </w:rPr>
            </w:pPr>
            <w:r w:rsidRPr="00FE5F1B">
              <w:rPr>
                <w:sz w:val="22"/>
                <w:szCs w:val="22"/>
                <w:lang w:val="ro-RO"/>
              </w:rPr>
              <w:t>Iran, Irak, Yemen</w:t>
            </w:r>
          </w:p>
          <w:p w14:paraId="5FCC36E5" w14:textId="77777777" w:rsidR="0067638B" w:rsidRPr="00FE5F1B" w:rsidRDefault="0067638B" w:rsidP="00A10A0D">
            <w:pPr>
              <w:spacing w:before="120"/>
              <w:rPr>
                <w:sz w:val="22"/>
                <w:szCs w:val="22"/>
                <w:lang w:val="ro-RO"/>
              </w:rPr>
            </w:pPr>
            <w:r w:rsidRPr="00FE5F1B">
              <w:rPr>
                <w:sz w:val="22"/>
                <w:szCs w:val="22"/>
                <w:lang w:val="ro-RO"/>
              </w:rPr>
              <w:t>Țări cu venituri ridicate: Bahrain, Kuweit, Oman, Qatar, Arabia Saudită, Emiratele Arabe Unite</w:t>
            </w:r>
          </w:p>
        </w:tc>
      </w:tr>
      <w:tr w:rsidR="0067638B" w:rsidRPr="00FE5F1B" w14:paraId="0DE82EA0" w14:textId="77777777" w:rsidTr="00A10A0D">
        <w:trPr>
          <w:trHeight w:val="1247"/>
        </w:trPr>
        <w:tc>
          <w:tcPr>
            <w:tcW w:w="2127" w:type="dxa"/>
            <w:vAlign w:val="center"/>
          </w:tcPr>
          <w:p w14:paraId="4045AF66" w14:textId="77777777" w:rsidR="0067638B" w:rsidRPr="00EA5A03" w:rsidRDefault="0067638B" w:rsidP="00A10A0D">
            <w:pPr>
              <w:rPr>
                <w:b/>
                <w:sz w:val="22"/>
                <w:szCs w:val="22"/>
                <w:lang w:val="ro-RO"/>
              </w:rPr>
            </w:pPr>
            <w:r w:rsidRPr="00EA5A03">
              <w:rPr>
                <w:b/>
                <w:sz w:val="22"/>
                <w:szCs w:val="22"/>
                <w:lang w:val="ro-RO"/>
              </w:rPr>
              <w:t>Regiunea 8</w:t>
            </w:r>
          </w:p>
          <w:p w14:paraId="4C66AF13" w14:textId="77777777" w:rsidR="0067638B" w:rsidRPr="00EA5A03" w:rsidRDefault="0067638B" w:rsidP="00A10A0D">
            <w:pPr>
              <w:rPr>
                <w:bCs/>
                <w:sz w:val="22"/>
                <w:szCs w:val="22"/>
                <w:lang w:val="ro-RO"/>
              </w:rPr>
            </w:pPr>
            <w:r w:rsidRPr="00EA5A03">
              <w:rPr>
                <w:bCs/>
                <w:sz w:val="22"/>
                <w:szCs w:val="22"/>
                <w:lang w:val="ro-RO"/>
              </w:rPr>
              <w:t>Zona Pacificului</w:t>
            </w:r>
          </w:p>
        </w:tc>
        <w:tc>
          <w:tcPr>
            <w:tcW w:w="7683" w:type="dxa"/>
            <w:vAlign w:val="center"/>
          </w:tcPr>
          <w:p w14:paraId="1A574FA2" w14:textId="77777777" w:rsidR="0067638B" w:rsidRPr="00FE5F1B" w:rsidRDefault="0067638B" w:rsidP="00A10A0D">
            <w:pPr>
              <w:rPr>
                <w:sz w:val="22"/>
                <w:szCs w:val="22"/>
                <w:lang w:val="ro-RO"/>
              </w:rPr>
            </w:pPr>
            <w:r w:rsidRPr="00FE5F1B">
              <w:rPr>
                <w:sz w:val="22"/>
                <w:szCs w:val="22"/>
                <w:lang w:val="ro-RO"/>
              </w:rPr>
              <w:t>Insulele Cook, Fiji, Kiribati, Insulele Marshall, Micronezia, Nauru, Niue, Palau, Papua-Noua Guinee, Samoa, Insulele Solomon, Timorul de Est, Tonga, Tuvalu, Vanuatu</w:t>
            </w:r>
          </w:p>
          <w:p w14:paraId="2296CAA0" w14:textId="77777777" w:rsidR="0067638B" w:rsidRPr="00FE5F1B" w:rsidRDefault="0067638B" w:rsidP="00A10A0D">
            <w:pPr>
              <w:spacing w:before="120"/>
              <w:rPr>
                <w:sz w:val="22"/>
                <w:szCs w:val="22"/>
                <w:lang w:val="ro-RO"/>
              </w:rPr>
            </w:pPr>
            <w:r w:rsidRPr="00FE5F1B">
              <w:rPr>
                <w:sz w:val="22"/>
                <w:szCs w:val="22"/>
                <w:lang w:val="ro-RO"/>
              </w:rPr>
              <w:t>Țări cu venituri ridicate: Australia, Noua Zeelandă</w:t>
            </w:r>
          </w:p>
        </w:tc>
      </w:tr>
      <w:tr w:rsidR="0067638B" w:rsidRPr="00FE5F1B" w14:paraId="416C4C30" w14:textId="77777777" w:rsidTr="00A10A0D">
        <w:trPr>
          <w:trHeight w:val="1928"/>
        </w:trPr>
        <w:tc>
          <w:tcPr>
            <w:tcW w:w="2127" w:type="dxa"/>
            <w:vAlign w:val="center"/>
          </w:tcPr>
          <w:p w14:paraId="1F516314" w14:textId="77777777" w:rsidR="0067638B" w:rsidRPr="00EA5A03" w:rsidRDefault="0067638B" w:rsidP="00A10A0D">
            <w:pPr>
              <w:rPr>
                <w:b/>
                <w:sz w:val="22"/>
                <w:szCs w:val="22"/>
                <w:lang w:val="ro-RO"/>
              </w:rPr>
            </w:pPr>
            <w:r w:rsidRPr="00EA5A03">
              <w:rPr>
                <w:b/>
                <w:sz w:val="22"/>
                <w:szCs w:val="22"/>
                <w:lang w:val="ro-RO"/>
              </w:rPr>
              <w:t>Regiunea 9</w:t>
            </w:r>
          </w:p>
          <w:p w14:paraId="1052BD87" w14:textId="77777777" w:rsidR="0067638B" w:rsidRPr="00EA5A03" w:rsidRDefault="0067638B" w:rsidP="00A10A0D">
            <w:pPr>
              <w:rPr>
                <w:bCs/>
                <w:sz w:val="22"/>
                <w:szCs w:val="22"/>
                <w:lang w:val="ro-RO"/>
              </w:rPr>
            </w:pPr>
            <w:r w:rsidRPr="00EA5A03">
              <w:rPr>
                <w:bCs/>
                <w:sz w:val="22"/>
                <w:szCs w:val="22"/>
                <w:lang w:val="ro-RO"/>
              </w:rPr>
              <w:t>Africa Subsahariană</w:t>
            </w:r>
          </w:p>
        </w:tc>
        <w:tc>
          <w:tcPr>
            <w:tcW w:w="7683" w:type="dxa"/>
            <w:vAlign w:val="center"/>
          </w:tcPr>
          <w:p w14:paraId="513D8D8D" w14:textId="77777777" w:rsidR="0067638B" w:rsidRPr="00FE5F1B" w:rsidRDefault="0067638B" w:rsidP="00A10A0D">
            <w:pPr>
              <w:rPr>
                <w:sz w:val="22"/>
                <w:szCs w:val="22"/>
                <w:lang w:val="ro-RO"/>
              </w:rPr>
            </w:pPr>
            <w:r w:rsidRPr="00FE5F1B">
              <w:rPr>
                <w:sz w:val="22"/>
                <w:szCs w:val="22"/>
                <w:lang w:val="ro-RO"/>
              </w:rPr>
              <w:t xml:space="preserve">Angola, Benin, Botswana, Burkina Faso, Burundi, Camerun, Cabo Verde, Republica Centrafricană, Ciad, Comore, Congo, Republica Democratică Congo, </w:t>
            </w:r>
            <w:r w:rsidRPr="0034386F">
              <w:rPr>
                <w:sz w:val="22"/>
                <w:szCs w:val="22"/>
                <w:lang w:val="ro-RO"/>
              </w:rPr>
              <w:t>Coasta de Fildeș</w:t>
            </w:r>
            <w:r w:rsidRPr="00FE5F1B">
              <w:rPr>
                <w:sz w:val="22"/>
                <w:szCs w:val="22"/>
                <w:lang w:val="ro-RO"/>
              </w:rPr>
              <w:t>, Djibouti, Guineea Ecuatorială, Eritreea, Eswatini, Etiopia, Gabon, Gambia, Ghana, Guineea, Guineea Bissau, Kenya, Lesotho, Liberia, Madagascar, Malawi, Mali, Mauritania, Mauritius, Mozambic, Namibia, Niger, Nigeria, Rwanda, São Tomé și Principe, Senegal, Seychelles, Sierra Leone, Somalia, Africa de Sud, Sudanul de Sud, Sudan, Tanzania, Togo, Uganda, Zambia, Zimbabwe</w:t>
            </w:r>
          </w:p>
        </w:tc>
      </w:tr>
      <w:tr w:rsidR="0067638B" w:rsidRPr="00FE5F1B" w14:paraId="72EF0485" w14:textId="77777777" w:rsidTr="00A10A0D">
        <w:trPr>
          <w:trHeight w:val="850"/>
        </w:trPr>
        <w:tc>
          <w:tcPr>
            <w:tcW w:w="2127" w:type="dxa"/>
            <w:vAlign w:val="center"/>
          </w:tcPr>
          <w:p w14:paraId="72B3B1D7" w14:textId="77777777" w:rsidR="0067638B" w:rsidRPr="00EA5A03" w:rsidRDefault="0067638B" w:rsidP="00A10A0D">
            <w:pPr>
              <w:rPr>
                <w:b/>
                <w:sz w:val="22"/>
                <w:szCs w:val="22"/>
                <w:lang w:val="ro-RO"/>
              </w:rPr>
            </w:pPr>
            <w:r w:rsidRPr="00EA5A03">
              <w:rPr>
                <w:b/>
                <w:sz w:val="22"/>
                <w:szCs w:val="22"/>
                <w:lang w:val="ro-RO"/>
              </w:rPr>
              <w:t>Regiunea 10</w:t>
            </w:r>
          </w:p>
          <w:p w14:paraId="72BA6E3A" w14:textId="77777777" w:rsidR="0067638B" w:rsidRPr="00EA5A03" w:rsidRDefault="0067638B" w:rsidP="00A10A0D">
            <w:pPr>
              <w:rPr>
                <w:bCs/>
                <w:sz w:val="22"/>
                <w:szCs w:val="22"/>
                <w:lang w:val="ro-RO"/>
              </w:rPr>
            </w:pPr>
            <w:r w:rsidRPr="00EA5A03">
              <w:rPr>
                <w:bCs/>
                <w:sz w:val="22"/>
                <w:szCs w:val="22"/>
                <w:lang w:val="ro-RO"/>
              </w:rPr>
              <w:t>America Latină</w:t>
            </w:r>
          </w:p>
        </w:tc>
        <w:tc>
          <w:tcPr>
            <w:tcW w:w="7683" w:type="dxa"/>
            <w:vAlign w:val="center"/>
          </w:tcPr>
          <w:p w14:paraId="7523A147" w14:textId="77777777" w:rsidR="0067638B" w:rsidRPr="00FE5F1B" w:rsidRDefault="0067638B" w:rsidP="00A10A0D">
            <w:pPr>
              <w:rPr>
                <w:sz w:val="22"/>
                <w:szCs w:val="22"/>
                <w:lang w:val="ro-RO"/>
              </w:rPr>
            </w:pPr>
            <w:r w:rsidRPr="00FE5F1B">
              <w:rPr>
                <w:sz w:val="22"/>
                <w:szCs w:val="22"/>
                <w:lang w:val="ro-RO"/>
              </w:rPr>
              <w:t>Argentina, Bolivia, Brazilia, Chile, Columbia, Costa Rica, Ecuador, El Salvador, Guatemala, Honduras, Mexic, Nicaragua, Panama, Paraguay, Peru, Uruguay și Venezuela</w:t>
            </w:r>
          </w:p>
        </w:tc>
      </w:tr>
      <w:tr w:rsidR="0067638B" w:rsidRPr="00FE5F1B" w14:paraId="4E07E1C2" w14:textId="77777777" w:rsidTr="00A10A0D">
        <w:trPr>
          <w:trHeight w:val="850"/>
        </w:trPr>
        <w:tc>
          <w:tcPr>
            <w:tcW w:w="2127" w:type="dxa"/>
            <w:vAlign w:val="center"/>
          </w:tcPr>
          <w:p w14:paraId="568D5987" w14:textId="77777777" w:rsidR="0067638B" w:rsidRPr="00EA5A03" w:rsidRDefault="0067638B" w:rsidP="00A10A0D">
            <w:pPr>
              <w:rPr>
                <w:b/>
                <w:sz w:val="22"/>
                <w:szCs w:val="22"/>
                <w:lang w:val="ro-RO"/>
              </w:rPr>
            </w:pPr>
            <w:r w:rsidRPr="00EA5A03">
              <w:rPr>
                <w:b/>
                <w:sz w:val="22"/>
                <w:szCs w:val="22"/>
                <w:lang w:val="ro-RO"/>
              </w:rPr>
              <w:t>Regiunea 11</w:t>
            </w:r>
          </w:p>
          <w:p w14:paraId="07B06996" w14:textId="77777777" w:rsidR="0067638B" w:rsidRPr="00EA5A03" w:rsidRDefault="0067638B" w:rsidP="00A10A0D">
            <w:pPr>
              <w:rPr>
                <w:bCs/>
                <w:sz w:val="22"/>
                <w:szCs w:val="22"/>
                <w:lang w:val="ro-RO"/>
              </w:rPr>
            </w:pPr>
            <w:r w:rsidRPr="00EA5A03">
              <w:rPr>
                <w:bCs/>
                <w:sz w:val="22"/>
                <w:szCs w:val="22"/>
                <w:lang w:val="ro-RO"/>
              </w:rPr>
              <w:t>Caraibi</w:t>
            </w:r>
          </w:p>
        </w:tc>
        <w:tc>
          <w:tcPr>
            <w:tcW w:w="7683" w:type="dxa"/>
            <w:vAlign w:val="center"/>
          </w:tcPr>
          <w:p w14:paraId="15CF554B" w14:textId="77777777" w:rsidR="0067638B" w:rsidRPr="00FE5F1B" w:rsidRDefault="0067638B" w:rsidP="00A10A0D">
            <w:pPr>
              <w:rPr>
                <w:sz w:val="22"/>
                <w:szCs w:val="22"/>
                <w:lang w:val="ro-RO"/>
              </w:rPr>
            </w:pPr>
            <w:r w:rsidRPr="00FE5F1B">
              <w:rPr>
                <w:sz w:val="22"/>
                <w:szCs w:val="22"/>
                <w:lang w:val="ro-RO"/>
              </w:rPr>
              <w:t>Antigua și Barbuda, Bahamas, Barbados, Belize, Cuba, Dominica, Republica Dominicană, Grenada, Guyana, Haiti, Jamaica, Saint Kitts și Nevis, Saint Lucia, Saint Vincent și Grenadinele, Suriname și Trinidad și Tobago</w:t>
            </w:r>
          </w:p>
        </w:tc>
      </w:tr>
      <w:tr w:rsidR="0067638B" w:rsidRPr="00FE5F1B" w14:paraId="702BFEB2" w14:textId="77777777" w:rsidTr="00A10A0D">
        <w:trPr>
          <w:trHeight w:val="624"/>
        </w:trPr>
        <w:tc>
          <w:tcPr>
            <w:tcW w:w="2127" w:type="dxa"/>
            <w:vAlign w:val="center"/>
          </w:tcPr>
          <w:p w14:paraId="1F6C9C35" w14:textId="77777777" w:rsidR="0067638B" w:rsidRPr="00EA5A03" w:rsidRDefault="0067638B" w:rsidP="00A10A0D">
            <w:pPr>
              <w:rPr>
                <w:b/>
                <w:sz w:val="22"/>
                <w:szCs w:val="22"/>
                <w:lang w:val="ro-RO"/>
              </w:rPr>
            </w:pPr>
            <w:r w:rsidRPr="00EA5A03">
              <w:rPr>
                <w:b/>
                <w:sz w:val="22"/>
                <w:szCs w:val="22"/>
                <w:lang w:val="ro-RO"/>
              </w:rPr>
              <w:t>Regiunea 12</w:t>
            </w:r>
          </w:p>
          <w:p w14:paraId="24B150BB" w14:textId="77777777" w:rsidR="0067638B" w:rsidRPr="00EA5A03" w:rsidRDefault="0067638B" w:rsidP="00A10A0D">
            <w:pPr>
              <w:rPr>
                <w:bCs/>
                <w:sz w:val="22"/>
                <w:szCs w:val="22"/>
                <w:lang w:val="ro-RO"/>
              </w:rPr>
            </w:pPr>
            <w:r w:rsidRPr="00EA5A03">
              <w:rPr>
                <w:bCs/>
                <w:sz w:val="22"/>
                <w:szCs w:val="22"/>
                <w:lang w:val="ro-RO"/>
              </w:rPr>
              <w:t xml:space="preserve">SUA și Canada </w:t>
            </w:r>
          </w:p>
        </w:tc>
        <w:tc>
          <w:tcPr>
            <w:tcW w:w="7683" w:type="dxa"/>
            <w:vAlign w:val="center"/>
          </w:tcPr>
          <w:p w14:paraId="4172E79B" w14:textId="77777777" w:rsidR="0067638B" w:rsidRPr="00FE5F1B" w:rsidRDefault="0067638B" w:rsidP="00A10A0D">
            <w:pPr>
              <w:rPr>
                <w:sz w:val="22"/>
                <w:szCs w:val="22"/>
                <w:lang w:val="ro-RO"/>
              </w:rPr>
            </w:pPr>
            <w:r w:rsidRPr="00FE5F1B">
              <w:rPr>
                <w:sz w:val="22"/>
                <w:szCs w:val="22"/>
                <w:lang w:val="ro-RO"/>
              </w:rPr>
              <w:t>Statele Unite ale Americii, Canada</w:t>
            </w:r>
          </w:p>
        </w:tc>
      </w:tr>
      <w:tr w:rsidR="0067638B" w:rsidRPr="00FE5F1B" w14:paraId="66E70620" w14:textId="77777777" w:rsidTr="00A10A0D">
        <w:trPr>
          <w:trHeight w:val="624"/>
        </w:trPr>
        <w:tc>
          <w:tcPr>
            <w:tcW w:w="2127" w:type="dxa"/>
            <w:vAlign w:val="center"/>
          </w:tcPr>
          <w:p w14:paraId="62D6E740" w14:textId="77777777" w:rsidR="0067638B" w:rsidRPr="00EA5A03" w:rsidRDefault="0067638B" w:rsidP="00A10A0D">
            <w:pPr>
              <w:rPr>
                <w:b/>
                <w:sz w:val="22"/>
                <w:szCs w:val="22"/>
                <w:lang w:val="ro-RO"/>
              </w:rPr>
            </w:pPr>
            <w:r w:rsidRPr="00EA5A03">
              <w:rPr>
                <w:b/>
                <w:sz w:val="22"/>
                <w:szCs w:val="22"/>
                <w:lang w:val="ro-RO"/>
              </w:rPr>
              <w:t>Regiunea 13</w:t>
            </w:r>
          </w:p>
        </w:tc>
        <w:tc>
          <w:tcPr>
            <w:tcW w:w="7683" w:type="dxa"/>
            <w:vAlign w:val="center"/>
          </w:tcPr>
          <w:p w14:paraId="6972745D" w14:textId="77777777" w:rsidR="0067638B" w:rsidRPr="00FE5F1B" w:rsidRDefault="0067638B" w:rsidP="00A10A0D">
            <w:pPr>
              <w:rPr>
                <w:sz w:val="22"/>
                <w:szCs w:val="22"/>
                <w:lang w:val="ro-RO"/>
              </w:rPr>
            </w:pPr>
            <w:r w:rsidRPr="00FD61C5">
              <w:rPr>
                <w:sz w:val="22"/>
                <w:szCs w:val="22"/>
                <w:lang w:val="ro-RO"/>
              </w:rPr>
              <w:t>Andorra, Monaco, San Marino, Statul Cetății Vaticanului</w:t>
            </w:r>
          </w:p>
        </w:tc>
      </w:tr>
      <w:tr w:rsidR="0067638B" w:rsidRPr="00FE5F1B" w14:paraId="53AF5207" w14:textId="77777777" w:rsidTr="00A10A0D">
        <w:trPr>
          <w:trHeight w:val="624"/>
        </w:trPr>
        <w:tc>
          <w:tcPr>
            <w:tcW w:w="2127" w:type="dxa"/>
            <w:vAlign w:val="center"/>
          </w:tcPr>
          <w:p w14:paraId="47E2DA82" w14:textId="77777777" w:rsidR="0067638B" w:rsidRPr="00EA5A03" w:rsidRDefault="0067638B" w:rsidP="00A10A0D">
            <w:pPr>
              <w:rPr>
                <w:b/>
                <w:sz w:val="22"/>
                <w:szCs w:val="22"/>
                <w:lang w:val="ro-RO"/>
              </w:rPr>
            </w:pPr>
            <w:r w:rsidRPr="00EA5A03">
              <w:rPr>
                <w:b/>
                <w:sz w:val="22"/>
                <w:szCs w:val="22"/>
                <w:lang w:val="ro-RO"/>
              </w:rPr>
              <w:t>Regiunea 14</w:t>
            </w:r>
          </w:p>
        </w:tc>
        <w:tc>
          <w:tcPr>
            <w:tcW w:w="7683" w:type="dxa"/>
            <w:vAlign w:val="center"/>
          </w:tcPr>
          <w:p w14:paraId="64E581BE" w14:textId="77777777" w:rsidR="0067638B" w:rsidRPr="00FE5F1B" w:rsidRDefault="0067638B" w:rsidP="00A10A0D">
            <w:pPr>
              <w:rPr>
                <w:sz w:val="22"/>
                <w:szCs w:val="22"/>
                <w:lang w:val="ro-RO"/>
              </w:rPr>
            </w:pPr>
            <w:r w:rsidRPr="00FD61C5">
              <w:rPr>
                <w:sz w:val="22"/>
                <w:szCs w:val="22"/>
                <w:lang w:val="ro-RO"/>
              </w:rPr>
              <w:t>Insulele Feroe, Elveția, Regatul Unit</w:t>
            </w:r>
          </w:p>
        </w:tc>
      </w:tr>
    </w:tbl>
    <w:p w14:paraId="72BF75AA" w14:textId="4A7937A2" w:rsidR="0067638B" w:rsidRPr="0067638B" w:rsidRDefault="0067638B" w:rsidP="0067638B">
      <w:pPr>
        <w:keepLines/>
        <w:widowControl w:val="0"/>
        <w:spacing w:after="240"/>
        <w:jc w:val="both"/>
        <w:rPr>
          <w:b/>
          <w:lang w:val="ro-RO"/>
        </w:rPr>
      </w:pPr>
    </w:p>
    <w:sectPr w:rsidR="0067638B" w:rsidRPr="0067638B" w:rsidSect="001D386D">
      <w:headerReference w:type="default" r:id="rId18"/>
      <w:footerReference w:type="default" r:id="rId19"/>
      <w:endnotePr>
        <w:numFmt w:val="decimal"/>
      </w:endnotePr>
      <w:type w:val="continuous"/>
      <w:pgSz w:w="11906" w:h="16838" w:code="9"/>
      <w:pgMar w:top="1530" w:right="1134" w:bottom="1247" w:left="1247" w:header="709"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C87153" w16cid:durableId="27DE7712"/>
  <w16cid:commentId w16cid:paraId="793B7D21" w16cid:durableId="27DE764C"/>
  <w16cid:commentId w16cid:paraId="7A3C4A7A" w16cid:durableId="27DE764D"/>
  <w16cid:commentId w16cid:paraId="372A3461" w16cid:durableId="27DE7713"/>
  <w16cid:commentId w16cid:paraId="119E2FB9" w16cid:durableId="27DE7714"/>
  <w16cid:commentId w16cid:paraId="22AD8D2A" w16cid:durableId="27DE76F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AF015" w14:textId="77777777" w:rsidR="0047514C" w:rsidRDefault="0047514C" w:rsidP="003C5E8B">
      <w:r>
        <w:separator/>
      </w:r>
    </w:p>
  </w:endnote>
  <w:endnote w:type="continuationSeparator" w:id="0">
    <w:p w14:paraId="03AED5DE" w14:textId="77777777" w:rsidR="0047514C" w:rsidRDefault="0047514C" w:rsidP="003C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827F" w14:textId="196A0E6C" w:rsidR="00036268" w:rsidRPr="002B0CEF" w:rsidRDefault="00036268">
    <w:pPr>
      <w:pStyle w:val="Footer"/>
      <w:jc w:val="right"/>
      <w:rPr>
        <w:sz w:val="22"/>
      </w:rPr>
    </w:pPr>
    <w:r w:rsidRPr="002B0CEF">
      <w:rPr>
        <w:sz w:val="22"/>
      </w:rPr>
      <w:fldChar w:fldCharType="begin"/>
    </w:r>
    <w:r w:rsidRPr="002B0CEF">
      <w:rPr>
        <w:sz w:val="22"/>
      </w:rPr>
      <w:instrText>PAGE   \* MERGEFORMAT</w:instrText>
    </w:r>
    <w:r w:rsidRPr="002B0CEF">
      <w:rPr>
        <w:sz w:val="22"/>
      </w:rPr>
      <w:fldChar w:fldCharType="separate"/>
    </w:r>
    <w:r w:rsidR="003B30C0" w:rsidRPr="003B30C0">
      <w:rPr>
        <w:noProof/>
        <w:sz w:val="22"/>
        <w:lang w:val="ro-RO"/>
      </w:rPr>
      <w:t>6</w:t>
    </w:r>
    <w:r w:rsidRPr="002B0CEF">
      <w:rPr>
        <w:sz w:val="22"/>
      </w:rPr>
      <w:fldChar w:fldCharType="end"/>
    </w:r>
  </w:p>
  <w:p w14:paraId="238D1FCD" w14:textId="77777777" w:rsidR="00036268" w:rsidRDefault="000362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4039D" w14:textId="77777777" w:rsidR="0047514C" w:rsidRDefault="0047514C" w:rsidP="003C5E8B">
      <w:r>
        <w:separator/>
      </w:r>
    </w:p>
  </w:footnote>
  <w:footnote w:type="continuationSeparator" w:id="0">
    <w:p w14:paraId="22E11E82" w14:textId="77777777" w:rsidR="0047514C" w:rsidRDefault="0047514C" w:rsidP="003C5E8B">
      <w:r>
        <w:continuationSeparator/>
      </w:r>
    </w:p>
  </w:footnote>
  <w:footnote w:id="1">
    <w:p w14:paraId="10672CD2" w14:textId="77777777" w:rsidR="00F021F4" w:rsidRPr="00503F1E" w:rsidRDefault="00F021F4" w:rsidP="00F021F4">
      <w:pPr>
        <w:pStyle w:val="FootnoteText"/>
        <w:jc w:val="both"/>
        <w:rPr>
          <w:lang w:val="ro-RO"/>
        </w:rPr>
      </w:pPr>
      <w:r w:rsidRPr="00503F1E">
        <w:rPr>
          <w:rStyle w:val="FootnoteReference"/>
          <w:lang w:val="ro-RO"/>
        </w:rPr>
        <w:footnoteRef/>
      </w:r>
      <w:r w:rsidRPr="00503F1E">
        <w:rPr>
          <w:lang w:val="ro-RO"/>
        </w:rPr>
        <w:t xml:space="preserve"> Următoarele tipuri de organizații nu sunt eligibile ca </w:t>
      </w:r>
      <w:r w:rsidR="00984B6E" w:rsidRPr="00503F1E">
        <w:rPr>
          <w:lang w:val="ro-RO"/>
        </w:rPr>
        <w:t>institu</w:t>
      </w:r>
      <w:r w:rsidRPr="00503F1E">
        <w:rPr>
          <w:lang w:val="ro-RO"/>
        </w:rPr>
        <w:t xml:space="preserve">ții gazdă în cazul </w:t>
      </w:r>
      <w:r w:rsidR="00984B6E" w:rsidRPr="00503F1E">
        <w:rPr>
          <w:lang w:val="ro-RO"/>
        </w:rPr>
        <w:t xml:space="preserve">deplasării </w:t>
      </w:r>
      <w:r w:rsidRPr="00503F1E">
        <w:rPr>
          <w:lang w:val="ro-RO"/>
        </w:rPr>
        <w:t xml:space="preserve">studenților în scopul </w:t>
      </w:r>
      <w:r w:rsidR="00984B6E" w:rsidRPr="00503F1E">
        <w:rPr>
          <w:lang w:val="ro-RO"/>
        </w:rPr>
        <w:t>mobilității</w:t>
      </w:r>
      <w:r w:rsidRPr="00503F1E">
        <w:rPr>
          <w:lang w:val="ro-RO"/>
        </w:rPr>
        <w:t>: instituțiile UE și alte organisme ale UE, inclusiv agenții specializate (lista acesto</w:t>
      </w:r>
      <w:r w:rsidR="002E75A5" w:rsidRPr="00503F1E">
        <w:rPr>
          <w:lang w:val="ro-RO"/>
        </w:rPr>
        <w:t>ra este disponibilă pe site-ul:</w:t>
      </w:r>
      <w:r w:rsidRPr="00503F1E">
        <w:rPr>
          <w:lang w:val="ro-RO"/>
        </w:rPr>
        <w:t xml:space="preserve"> </w:t>
      </w:r>
      <w:hyperlink r:id="rId1" w:history="1">
        <w:r w:rsidR="002E75A5" w:rsidRPr="00503F1E">
          <w:rPr>
            <w:rStyle w:val="Hyperlink"/>
            <w:lang w:val="ro-RO"/>
          </w:rPr>
          <w:t>https://europa.eu/european-union/abouteu/institutions-bodies_ro</w:t>
        </w:r>
      </w:hyperlink>
      <w:r w:rsidRPr="00503F1E">
        <w:rPr>
          <w:lang w:val="ro-RO"/>
        </w:rPr>
        <w:t>); organizații care administrează programele UE, cum ar fi agențiile naționale Erasmus+ (pentru a se evita un posibil conflict de interese și/sau finanțarea dublă).</w:t>
      </w:r>
    </w:p>
  </w:footnote>
  <w:footnote w:id="2">
    <w:p w14:paraId="612F3660" w14:textId="77777777" w:rsidR="00141E94" w:rsidRPr="00503F1E" w:rsidRDefault="00141E94" w:rsidP="0074160B">
      <w:pPr>
        <w:pStyle w:val="FootnoteText"/>
        <w:jc w:val="both"/>
        <w:rPr>
          <w:lang w:val="ro-RO"/>
        </w:rPr>
      </w:pPr>
      <w:r w:rsidRPr="00503F1E">
        <w:rPr>
          <w:rStyle w:val="FootnoteReference"/>
          <w:lang w:val="ro-RO"/>
        </w:rPr>
        <w:footnoteRef/>
      </w:r>
      <w:r w:rsidRPr="00503F1E">
        <w:rPr>
          <w:lang w:val="ro-RO"/>
        </w:rPr>
        <w:t xml:space="preserve"> Atunci când studentul sau proaspăt absolventul realizează una sau mai multe dintre următoarele activități pe durata mobilității: marketing digital; design grafic, mecanic sau arhitectural digital; dezvoltarea de aplicații, programe informatice, scripturi sau site-uri web; instalarea, întreținerea și gestionarea de sisteme și rețele IT; securitatea cibernetică; analiza, explorarea și vizualizarea de date; programarea și instruirea de roboți și aplicații ale inteligenței artificiale. Asistența generică pentru clienți, onorarea comenzilor, introducerea de date sau activitățile de birou nu fac parte din această categorie.</w:t>
      </w:r>
    </w:p>
  </w:footnote>
  <w:footnote w:id="3">
    <w:p w14:paraId="0BDE225D" w14:textId="67DA5C66" w:rsidR="001E7A05" w:rsidRPr="001E7A05" w:rsidRDefault="001E7A05" w:rsidP="005F23EA">
      <w:pPr>
        <w:pStyle w:val="FootnoteText"/>
        <w:jc w:val="both"/>
        <w:rPr>
          <w:lang w:val="ro-RO"/>
        </w:rPr>
      </w:pPr>
      <w:r>
        <w:rPr>
          <w:rStyle w:val="FootnoteReference"/>
        </w:rPr>
        <w:footnoteRef/>
      </w:r>
      <w:r>
        <w:t xml:space="preserve"> </w:t>
      </w:r>
      <w:r w:rsidR="007D022F">
        <w:rPr>
          <w:lang w:val="ro-RO"/>
        </w:rPr>
        <w:t>Țări</w:t>
      </w:r>
      <w:r w:rsidRPr="007D022F">
        <w:rPr>
          <w:lang w:val="ro-RO"/>
        </w:rPr>
        <w:t xml:space="preserve"> terțe care nu sunt asociate la Program</w:t>
      </w:r>
      <w:r w:rsidRPr="00136BBC">
        <w:rPr>
          <w:lang w:val="ro-RO"/>
        </w:rPr>
        <w:t xml:space="preserve"> - statele care nu participă integral în cadrul Programului Erasmus+, dar care pot lua parte (în calitate de parteneri sau de solicitanți) la anumite acțiuni ale Programului</w:t>
      </w:r>
      <w:r w:rsidR="00744D88">
        <w:rPr>
          <w:lang w:val="ro-RO"/>
        </w:rPr>
        <w:t>.</w:t>
      </w:r>
    </w:p>
  </w:footnote>
  <w:footnote w:id="4">
    <w:p w14:paraId="18EFF2A9" w14:textId="4CC282A7" w:rsidR="001E7A05" w:rsidRDefault="001E7A05" w:rsidP="001E7A05">
      <w:pPr>
        <w:pStyle w:val="FootnoteText"/>
        <w:jc w:val="both"/>
        <w:rPr>
          <w:lang w:val="ro-RO"/>
        </w:rPr>
      </w:pPr>
      <w:r>
        <w:rPr>
          <w:rStyle w:val="FootnoteReference"/>
        </w:rPr>
        <w:footnoteRef/>
      </w:r>
      <w:r>
        <w:t xml:space="preserve"> </w:t>
      </w:r>
      <w:r w:rsidRPr="00503F1E">
        <w:rPr>
          <w:lang w:val="ro-RO"/>
        </w:rPr>
        <w:t>Lista regiunilor şi a ţărilor terțe care nu sunt asociate la Program este inclusă în Ghidul anual al Programului Erasmus+, la secţiunea Ţări eligibile.</w:t>
      </w:r>
    </w:p>
    <w:p w14:paraId="064046DC" w14:textId="7F91F674" w:rsidR="001E7A05" w:rsidRPr="001E7A05" w:rsidRDefault="00744D88" w:rsidP="00014461">
      <w:pPr>
        <w:pStyle w:val="FootnoteText"/>
        <w:jc w:val="both"/>
        <w:rPr>
          <w:lang w:val="ro-RO"/>
        </w:rPr>
      </w:pPr>
      <w:r w:rsidRPr="00503F1E">
        <w:rPr>
          <w:lang w:val="ro-RO"/>
        </w:rPr>
        <w:t>Țările terțe care nu sunt</w:t>
      </w:r>
      <w:r>
        <w:rPr>
          <w:lang w:val="ro-RO"/>
        </w:rPr>
        <w:t xml:space="preserve"> asociate la Program </w:t>
      </w:r>
      <w:r w:rsidRPr="00503F1E">
        <w:rPr>
          <w:lang w:val="ro-RO"/>
        </w:rPr>
        <w:t>pentru care s-a primit finanţare</w:t>
      </w:r>
      <w:r w:rsidRPr="00784F84">
        <w:rPr>
          <w:lang w:val="ro-RO"/>
        </w:rPr>
        <w:t xml:space="preserve"> </w:t>
      </w:r>
      <w:r w:rsidRPr="00503F1E">
        <w:rPr>
          <w:lang w:val="ro-RO"/>
        </w:rPr>
        <w:t>pentru proiectele Erasmus+ KA171-HED sunt menționate în contractele de finanțare anuale încheiate între Universitatea “Alexandru Ioan Cuza” din Iași (UAIC) și Agenția Națională pentru Programe Comunitare în Domeniul Educației și Formării Profesionale (ANPCDEFP), în conformitate cu Ghidul anual al Programului Erasmus+.</w:t>
      </w:r>
    </w:p>
  </w:footnote>
  <w:footnote w:id="5">
    <w:p w14:paraId="67740AE8" w14:textId="77777777" w:rsidR="00077E27" w:rsidRPr="00C56E0C" w:rsidRDefault="00077E27" w:rsidP="00077E27">
      <w:pPr>
        <w:jc w:val="both"/>
        <w:rPr>
          <w:sz w:val="20"/>
          <w:szCs w:val="20"/>
          <w:lang w:val="ro-RO"/>
        </w:rPr>
      </w:pPr>
      <w:r>
        <w:rPr>
          <w:rStyle w:val="FootnoteReference"/>
        </w:rPr>
        <w:footnoteRef/>
      </w:r>
      <w:r>
        <w:t xml:space="preserve"> </w:t>
      </w:r>
      <w:r w:rsidRPr="00C56E0C">
        <w:rPr>
          <w:sz w:val="20"/>
          <w:szCs w:val="20"/>
          <w:lang w:val="ro-RO"/>
        </w:rPr>
        <w:t>Dacă nu aveți deja un atestat de limbă, câteva posibilități pentru susținerea unui test în Iași sunt:</w:t>
      </w:r>
    </w:p>
    <w:p w14:paraId="69D3600A" w14:textId="77777777" w:rsidR="00077E27" w:rsidRPr="00C56E0C" w:rsidRDefault="00077E27" w:rsidP="00077E27">
      <w:pPr>
        <w:numPr>
          <w:ilvl w:val="0"/>
          <w:numId w:val="27"/>
        </w:numPr>
        <w:jc w:val="both"/>
        <w:rPr>
          <w:rFonts w:ascii="Calibri" w:hAnsi="Calibri" w:cs="Calibri"/>
          <w:sz w:val="20"/>
          <w:szCs w:val="20"/>
          <w:lang w:val="ro-RO"/>
        </w:rPr>
      </w:pPr>
      <w:r w:rsidRPr="00C56E0C">
        <w:rPr>
          <w:sz w:val="20"/>
          <w:szCs w:val="20"/>
          <w:lang w:val="ro-RO"/>
        </w:rPr>
        <w:t>Institutul Cultural Francez Iași, Bd. Carol I, nr. 26 (franceză);</w:t>
      </w:r>
    </w:p>
    <w:p w14:paraId="6D183FD7" w14:textId="77777777" w:rsidR="00077E27" w:rsidRPr="00C56E0C" w:rsidRDefault="00077E27" w:rsidP="00077E27">
      <w:pPr>
        <w:numPr>
          <w:ilvl w:val="0"/>
          <w:numId w:val="27"/>
        </w:numPr>
        <w:jc w:val="both"/>
        <w:rPr>
          <w:sz w:val="20"/>
          <w:szCs w:val="20"/>
          <w:lang w:val="ro-RO"/>
        </w:rPr>
      </w:pPr>
      <w:r w:rsidRPr="00C56E0C">
        <w:rPr>
          <w:sz w:val="20"/>
          <w:szCs w:val="20"/>
          <w:lang w:val="ro-RO"/>
        </w:rPr>
        <w:t>Centrul Cultural German Iași, Str. Lascăr Catargi, nr.38 (germană);</w:t>
      </w:r>
    </w:p>
    <w:p w14:paraId="5655FDA3" w14:textId="77777777" w:rsidR="00077E27" w:rsidRPr="00C56E0C" w:rsidRDefault="00077E27" w:rsidP="00077E27">
      <w:pPr>
        <w:numPr>
          <w:ilvl w:val="0"/>
          <w:numId w:val="27"/>
        </w:numPr>
        <w:jc w:val="both"/>
        <w:rPr>
          <w:sz w:val="20"/>
          <w:szCs w:val="20"/>
          <w:lang w:val="ro-RO"/>
        </w:rPr>
      </w:pPr>
      <w:r w:rsidRPr="00C56E0C">
        <w:rPr>
          <w:sz w:val="20"/>
          <w:szCs w:val="20"/>
          <w:lang w:val="ro-RO"/>
        </w:rPr>
        <w:t>Centrul Cultural al Americii Latine şi Caraibelor Iaşi, Corp O – Universitatea Alexandru Ioan Cuza (spaniolă);</w:t>
      </w:r>
    </w:p>
    <w:p w14:paraId="4A015E8E" w14:textId="77777777" w:rsidR="007D2DAA" w:rsidRDefault="00077E27" w:rsidP="00077E27">
      <w:pPr>
        <w:numPr>
          <w:ilvl w:val="0"/>
          <w:numId w:val="27"/>
        </w:numPr>
        <w:jc w:val="both"/>
        <w:rPr>
          <w:sz w:val="20"/>
          <w:szCs w:val="20"/>
          <w:lang w:val="ro-RO"/>
        </w:rPr>
      </w:pPr>
      <w:r w:rsidRPr="00C56E0C">
        <w:rPr>
          <w:sz w:val="20"/>
          <w:szCs w:val="20"/>
          <w:lang w:val="ro-RO"/>
        </w:rPr>
        <w:t>Centrul de Limbi Străine al Facultății de Litere;</w:t>
      </w:r>
    </w:p>
    <w:p w14:paraId="04115FCA" w14:textId="2D12EC56" w:rsidR="00077E27" w:rsidRPr="007D2DAA" w:rsidRDefault="00077E27" w:rsidP="00077E27">
      <w:pPr>
        <w:numPr>
          <w:ilvl w:val="0"/>
          <w:numId w:val="27"/>
        </w:numPr>
        <w:jc w:val="both"/>
        <w:rPr>
          <w:sz w:val="20"/>
          <w:szCs w:val="20"/>
          <w:lang w:val="ro-RO"/>
        </w:rPr>
      </w:pPr>
      <w:r w:rsidRPr="007D2DAA">
        <w:rPr>
          <w:sz w:val="20"/>
          <w:szCs w:val="20"/>
          <w:lang w:val="ro-RO"/>
        </w:rPr>
        <w:t>EuroEd Iași, Str Florilor, nr. 1C (engleză, franceză, italiană, spaniolă).</w:t>
      </w:r>
    </w:p>
  </w:footnote>
  <w:footnote w:id="6">
    <w:p w14:paraId="11932CD1" w14:textId="77777777" w:rsidR="00C84DE9" w:rsidRPr="00907D0E" w:rsidRDefault="00C84DE9" w:rsidP="00C84DE9">
      <w:pPr>
        <w:pStyle w:val="FootnoteText"/>
        <w:jc w:val="both"/>
        <w:rPr>
          <w:lang w:val="ro-RO"/>
        </w:rPr>
      </w:pPr>
      <w:r>
        <w:rPr>
          <w:rStyle w:val="FootnoteReference"/>
        </w:rPr>
        <w:footnoteRef/>
      </w:r>
      <w:r>
        <w:t xml:space="preserve"> </w:t>
      </w:r>
      <w:r w:rsidRPr="008927C5">
        <w:rPr>
          <w:lang w:val="ro-RO"/>
        </w:rPr>
        <w:t xml:space="preserve">Participanţi cu oportunități reduse - </w:t>
      </w:r>
      <w:r w:rsidRPr="008927C5">
        <w:rPr>
          <w:bCs/>
          <w:iCs/>
          <w:lang w:val="ro-RO"/>
        </w:rPr>
        <w:t xml:space="preserve">cei care </w:t>
      </w:r>
      <w:r w:rsidRPr="008927C5">
        <w:rPr>
          <w:bCs/>
          <w:lang w:val="ro-RO"/>
        </w:rPr>
        <w:t>beneficiază de bursă socială sau se califică pentru a beneficia conform Ordinului MEN 3392/2017 - Art. 6, paragraful 2, cei de etnie romă sau cei cu statut de refugiat.</w:t>
      </w:r>
      <w:r>
        <w:rPr>
          <w:bCs/>
          <w:lang w:val="ro-RO"/>
        </w:rPr>
        <w:t xml:space="preserve"> </w:t>
      </w:r>
      <w:r w:rsidRPr="00907D0E">
        <w:rPr>
          <w:bCs/>
          <w:lang w:val="ro-RO"/>
        </w:rPr>
        <w:t>Dosarele de bursă socială se depun la Secretariatul facultății conform calendarului stabilit la începutul anului academic. Pentru lista completă a documentelor necesare la dosarul pentru bursa socială, accesați website-ul facultății la următorul link: www..............................................</w:t>
      </w:r>
    </w:p>
  </w:footnote>
  <w:footnote w:id="7">
    <w:p w14:paraId="212BF676" w14:textId="6D23C178" w:rsidR="007D1159" w:rsidRPr="007D1159" w:rsidRDefault="007D1159">
      <w:pPr>
        <w:pStyle w:val="FootnoteText"/>
        <w:rPr>
          <w:lang w:val="ro-RO"/>
        </w:rPr>
      </w:pPr>
      <w:r>
        <w:rPr>
          <w:rStyle w:val="FootnoteReference"/>
        </w:rPr>
        <w:footnoteRef/>
      </w:r>
      <w:r>
        <w:t xml:space="preserve"> </w:t>
      </w:r>
      <w:r w:rsidRPr="00F83456">
        <w:rPr>
          <w:noProof/>
          <w:lang w:val="ro-RO"/>
        </w:rPr>
        <w:t>Green travel - tra</w:t>
      </w:r>
      <w:r w:rsidRPr="001407DF">
        <w:rPr>
          <w:noProof/>
          <w:lang w:val="ro-RO"/>
        </w:rPr>
        <w:t>nsport cu mijloace prietenoase cu mediul (autobuz, tren, mașină personală în regim de carpooling).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905C" w14:textId="77777777" w:rsidR="009F5796" w:rsidRPr="00075BBF" w:rsidRDefault="00806ED1">
    <w:pPr>
      <w:pStyle w:val="Header"/>
      <w:rPr>
        <w:color w:val="1F4E79"/>
        <w:sz w:val="36"/>
        <w:szCs w:val="36"/>
        <w:lang w:val="ro-RO"/>
      </w:rPr>
    </w:pPr>
    <w:r>
      <w:rPr>
        <w:noProof/>
        <w:lang w:val="en-GB" w:eastAsia="en-GB"/>
      </w:rPr>
      <w:drawing>
        <wp:anchor distT="0" distB="0" distL="114300" distR="114300" simplePos="0" relativeHeight="251657216" behindDoc="0" locked="0" layoutInCell="1" allowOverlap="1" wp14:anchorId="7F21011F" wp14:editId="3034EF82">
          <wp:simplePos x="0" y="0"/>
          <wp:positionH relativeFrom="column">
            <wp:posOffset>-148590</wp:posOffset>
          </wp:positionH>
          <wp:positionV relativeFrom="paragraph">
            <wp:posOffset>-176530</wp:posOffset>
          </wp:positionV>
          <wp:extent cx="2752725" cy="38735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0" behindDoc="1" locked="0" layoutInCell="1" allowOverlap="1" wp14:anchorId="79D521C5" wp14:editId="007D70B7">
          <wp:simplePos x="0" y="0"/>
          <wp:positionH relativeFrom="column">
            <wp:posOffset>4324350</wp:posOffset>
          </wp:positionH>
          <wp:positionV relativeFrom="paragraph">
            <wp:posOffset>-195580</wp:posOffset>
          </wp:positionV>
          <wp:extent cx="1395730" cy="40005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573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25pt;height:11.25pt" o:bullet="t">
        <v:imagedata r:id="rId1" o:title="msoC1E8"/>
      </v:shape>
    </w:pict>
  </w:numPicBullet>
  <w:abstractNum w:abstractNumId="0" w15:restartNumberingAfterBreak="0">
    <w:nsid w:val="03E22DDA"/>
    <w:multiLevelType w:val="hybridMultilevel"/>
    <w:tmpl w:val="9DCC1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520E9"/>
    <w:multiLevelType w:val="hybridMultilevel"/>
    <w:tmpl w:val="A8A44BF8"/>
    <w:lvl w:ilvl="0" w:tplc="0418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70C0"/>
    <w:multiLevelType w:val="hybridMultilevel"/>
    <w:tmpl w:val="AA10D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3C5A"/>
    <w:multiLevelType w:val="hybridMultilevel"/>
    <w:tmpl w:val="373E8E4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B9F0638"/>
    <w:multiLevelType w:val="hybridMultilevel"/>
    <w:tmpl w:val="16BA3726"/>
    <w:lvl w:ilvl="0" w:tplc="F2AAF344">
      <w:start w:val="1"/>
      <w:numFmt w:val="bullet"/>
      <w:suff w:val="space"/>
      <w:lvlText w:val=""/>
      <w:lvlJc w:val="left"/>
      <w:pPr>
        <w:ind w:left="72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5" w15:restartNumberingAfterBreak="0">
    <w:nsid w:val="1229553D"/>
    <w:multiLevelType w:val="hybridMultilevel"/>
    <w:tmpl w:val="90629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E133F"/>
    <w:multiLevelType w:val="hybridMultilevel"/>
    <w:tmpl w:val="12B61390"/>
    <w:lvl w:ilvl="0" w:tplc="807C8AC8">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80FA0"/>
    <w:multiLevelType w:val="hybridMultilevel"/>
    <w:tmpl w:val="5F6E6414"/>
    <w:lvl w:ilvl="0" w:tplc="08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8" w15:restartNumberingAfterBreak="0">
    <w:nsid w:val="223C12AE"/>
    <w:multiLevelType w:val="hybridMultilevel"/>
    <w:tmpl w:val="74E4E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A1442"/>
    <w:multiLevelType w:val="hybridMultilevel"/>
    <w:tmpl w:val="C8DE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C7398"/>
    <w:multiLevelType w:val="multilevel"/>
    <w:tmpl w:val="04324164"/>
    <w:lvl w:ilvl="0">
      <w:start w:val="1"/>
      <w:numFmt w:val="decimal"/>
      <w:suff w:val="space"/>
      <w:lvlText w:val="%1."/>
      <w:lvlJc w:val="left"/>
      <w:pPr>
        <w:ind w:left="720" w:hanging="360"/>
      </w:pPr>
      <w:rPr>
        <w:rFonts w:hint="default"/>
        <w:b/>
        <w:bCs w:val="0"/>
      </w:rPr>
    </w:lvl>
    <w:lvl w:ilvl="1">
      <w:start w:val="1"/>
      <w:numFmt w:val="decimal"/>
      <w:isLgl/>
      <w:suff w:val="space"/>
      <w:lvlText w:val="%1.%2."/>
      <w:lvlJc w:val="left"/>
      <w:pPr>
        <w:ind w:left="8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9BE177F"/>
    <w:multiLevelType w:val="hybridMultilevel"/>
    <w:tmpl w:val="3904C886"/>
    <w:lvl w:ilvl="0" w:tplc="73D4F5F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453A0"/>
    <w:multiLevelType w:val="hybridMultilevel"/>
    <w:tmpl w:val="63DA0650"/>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DA78F006">
      <w:start w:val="1"/>
      <w:numFmt w:val="lowerLetter"/>
      <w:lvlText w:val="(%3)"/>
      <w:lvlJc w:val="left"/>
      <w:pPr>
        <w:ind w:left="720" w:hanging="360"/>
      </w:pPr>
      <w:rPr>
        <w:rFonts w:ascii="Times New Roman" w:eastAsia="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3FD257A"/>
    <w:multiLevelType w:val="hybridMultilevel"/>
    <w:tmpl w:val="A3D6D45E"/>
    <w:lvl w:ilvl="0" w:tplc="BE9CF5B8">
      <w:start w:val="1"/>
      <w:numFmt w:val="bullet"/>
      <w:lvlText w:val=""/>
      <w:lvlJc w:val="left"/>
      <w:rPr>
        <w:rFonts w:ascii="Symbol" w:hAnsi="Symbol" w:hint="default"/>
        <w:color w:val="auto"/>
      </w:rPr>
    </w:lvl>
    <w:lvl w:ilvl="1" w:tplc="EE8E83FE">
      <w:numFmt w:val="bullet"/>
      <w:lvlText w:val="-"/>
      <w:lvlJc w:val="left"/>
      <w:pPr>
        <w:ind w:left="1440" w:hanging="360"/>
      </w:pPr>
      <w:rPr>
        <w:rFonts w:ascii="Times New Roman" w:eastAsia="Times New Roman" w:hAnsi="Times New Roman" w:cs="Times New Roman"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A4767A8"/>
    <w:multiLevelType w:val="hybridMultilevel"/>
    <w:tmpl w:val="B964E826"/>
    <w:lvl w:ilvl="0" w:tplc="FFFFFFFF">
      <w:start w:val="1"/>
      <w:numFmt w:val="bullet"/>
      <w:lvlText w:val=""/>
      <w:lvlPicBulletId w:val="0"/>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66192A"/>
    <w:multiLevelType w:val="hybridMultilevel"/>
    <w:tmpl w:val="8BE089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BA90E69"/>
    <w:multiLevelType w:val="hybridMultilevel"/>
    <w:tmpl w:val="B9E4D44C"/>
    <w:lvl w:ilvl="0" w:tplc="FFFFFFFF">
      <w:start w:val="1"/>
      <w:numFmt w:val="bullet"/>
      <w:lvlText w:val=""/>
      <w:lvlJc w:val="left"/>
      <w:pPr>
        <w:ind w:left="720" w:hanging="360"/>
      </w:pPr>
      <w:rPr>
        <w:rFonts w:ascii="Wingdings" w:hAnsi="Wingdings" w:hint="default"/>
      </w:rPr>
    </w:lvl>
    <w:lvl w:ilvl="1" w:tplc="7DAEDFD6">
      <w:start w:val="1"/>
      <w:numFmt w:val="decimal"/>
      <w:lvlText w:val="%2."/>
      <w:lvlJc w:val="left"/>
      <w:pPr>
        <w:ind w:left="1440" w:hanging="360"/>
      </w:pPr>
      <w:rPr>
        <w:b/>
        <w:bCs/>
      </w:rPr>
    </w:lvl>
    <w:lvl w:ilvl="2" w:tplc="0418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E10C4D92">
      <w:start w:val="1"/>
      <w:numFmt w:val="upperLetter"/>
      <w:lvlText w:val="%5."/>
      <w:lvlJc w:val="left"/>
      <w:pPr>
        <w:ind w:left="540" w:hanging="360"/>
      </w:pPr>
      <w:rPr>
        <w:rFonts w:hint="default"/>
        <w:b/>
        <w:bCs/>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E20F33"/>
    <w:multiLevelType w:val="hybridMultilevel"/>
    <w:tmpl w:val="A322B7F6"/>
    <w:lvl w:ilvl="0" w:tplc="CF2080D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575B1"/>
    <w:multiLevelType w:val="hybridMultilevel"/>
    <w:tmpl w:val="02A85114"/>
    <w:lvl w:ilvl="0" w:tplc="1B24A60E">
      <w:start w:val="1"/>
      <w:numFmt w:val="bullet"/>
      <w:suff w:val="space"/>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82F797D"/>
    <w:multiLevelType w:val="hybridMultilevel"/>
    <w:tmpl w:val="0E1A5A6C"/>
    <w:lvl w:ilvl="0" w:tplc="7328673E">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15:restartNumberingAfterBreak="0">
    <w:nsid w:val="4C594590"/>
    <w:multiLevelType w:val="hybridMultilevel"/>
    <w:tmpl w:val="5C406CEA"/>
    <w:lvl w:ilvl="0" w:tplc="5ADE7E8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603ABF"/>
    <w:multiLevelType w:val="hybridMultilevel"/>
    <w:tmpl w:val="CE1EF3F0"/>
    <w:lvl w:ilvl="0" w:tplc="0784968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4293D"/>
    <w:multiLevelType w:val="hybridMultilevel"/>
    <w:tmpl w:val="80B2A4C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2B87C5E"/>
    <w:multiLevelType w:val="multilevel"/>
    <w:tmpl w:val="07244412"/>
    <w:lvl w:ilvl="0">
      <w:start w:val="1"/>
      <w:numFmt w:val="bullet"/>
      <w:lvlText w:val=""/>
      <w:lvlJc w:val="left"/>
      <w:pPr>
        <w:ind w:left="720" w:hanging="360"/>
      </w:pPr>
      <w:rPr>
        <w:rFonts w:ascii="Wingdings" w:hAnsi="Wingdings" w:hint="default"/>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972CE1"/>
    <w:multiLevelType w:val="hybridMultilevel"/>
    <w:tmpl w:val="CA8845F4"/>
    <w:lvl w:ilvl="0" w:tplc="DA78F006">
      <w:start w:val="1"/>
      <w:numFmt w:val="lowerLetter"/>
      <w:lvlText w:val="(%1)"/>
      <w:lvlJc w:val="left"/>
      <w:pPr>
        <w:ind w:left="1440" w:hanging="360"/>
      </w:pPr>
      <w:rPr>
        <w:rFonts w:ascii="Times New Roman" w:eastAsia="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34A285F"/>
    <w:multiLevelType w:val="hybridMultilevel"/>
    <w:tmpl w:val="C2D6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F075C"/>
    <w:multiLevelType w:val="hybridMultilevel"/>
    <w:tmpl w:val="EBFA9184"/>
    <w:lvl w:ilvl="0" w:tplc="7328673E">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6"/>
  </w:num>
  <w:num w:numId="4">
    <w:abstractNumId w:val="14"/>
  </w:num>
  <w:num w:numId="5">
    <w:abstractNumId w:val="15"/>
  </w:num>
  <w:num w:numId="6">
    <w:abstractNumId w:val="4"/>
  </w:num>
  <w:num w:numId="7">
    <w:abstractNumId w:val="25"/>
  </w:num>
  <w:num w:numId="8">
    <w:abstractNumId w:val="10"/>
  </w:num>
  <w:num w:numId="9">
    <w:abstractNumId w:val="17"/>
  </w:num>
  <w:num w:numId="10">
    <w:abstractNumId w:val="21"/>
  </w:num>
  <w:num w:numId="11">
    <w:abstractNumId w:val="20"/>
  </w:num>
  <w:num w:numId="12">
    <w:abstractNumId w:val="9"/>
  </w:num>
  <w:num w:numId="13">
    <w:abstractNumId w:val="26"/>
  </w:num>
  <w:num w:numId="14">
    <w:abstractNumId w:val="0"/>
  </w:num>
  <w:num w:numId="15">
    <w:abstractNumId w:val="12"/>
  </w:num>
  <w:num w:numId="16">
    <w:abstractNumId w:val="24"/>
  </w:num>
  <w:num w:numId="17">
    <w:abstractNumId w:val="2"/>
  </w:num>
  <w:num w:numId="18">
    <w:abstractNumId w:val="3"/>
  </w:num>
  <w:num w:numId="19">
    <w:abstractNumId w:val="23"/>
  </w:num>
  <w:num w:numId="20">
    <w:abstractNumId w:val="1"/>
  </w:num>
  <w:num w:numId="21">
    <w:abstractNumId w:val="11"/>
  </w:num>
  <w:num w:numId="22">
    <w:abstractNumId w:val="8"/>
  </w:num>
  <w:num w:numId="23">
    <w:abstractNumId w:val="7"/>
  </w:num>
  <w:num w:numId="24">
    <w:abstractNumId w:val="5"/>
  </w:num>
  <w:num w:numId="25">
    <w:abstractNumId w:val="19"/>
  </w:num>
  <w:num w:numId="26">
    <w:abstractNumId w:val="6"/>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C0"/>
    <w:rsid w:val="00000119"/>
    <w:rsid w:val="00001504"/>
    <w:rsid w:val="000043F0"/>
    <w:rsid w:val="00014461"/>
    <w:rsid w:val="000302AD"/>
    <w:rsid w:val="000347D6"/>
    <w:rsid w:val="000361A1"/>
    <w:rsid w:val="00036268"/>
    <w:rsid w:val="000457CC"/>
    <w:rsid w:val="000464B7"/>
    <w:rsid w:val="000634A7"/>
    <w:rsid w:val="00075BBF"/>
    <w:rsid w:val="00077E27"/>
    <w:rsid w:val="000827FC"/>
    <w:rsid w:val="000837DC"/>
    <w:rsid w:val="00087F1A"/>
    <w:rsid w:val="00090A59"/>
    <w:rsid w:val="000A5D31"/>
    <w:rsid w:val="000A6610"/>
    <w:rsid w:val="000A777A"/>
    <w:rsid w:val="000B1595"/>
    <w:rsid w:val="000B2343"/>
    <w:rsid w:val="000B3A47"/>
    <w:rsid w:val="000B41A2"/>
    <w:rsid w:val="000B4CE1"/>
    <w:rsid w:val="000C6BF6"/>
    <w:rsid w:val="000D74F2"/>
    <w:rsid w:val="000E5D6A"/>
    <w:rsid w:val="000E644D"/>
    <w:rsid w:val="000F3021"/>
    <w:rsid w:val="00120E98"/>
    <w:rsid w:val="0012434B"/>
    <w:rsid w:val="00135044"/>
    <w:rsid w:val="00136BBC"/>
    <w:rsid w:val="00141E94"/>
    <w:rsid w:val="00146834"/>
    <w:rsid w:val="001577D6"/>
    <w:rsid w:val="001625A7"/>
    <w:rsid w:val="001631D6"/>
    <w:rsid w:val="001660E5"/>
    <w:rsid w:val="001712E7"/>
    <w:rsid w:val="00171641"/>
    <w:rsid w:val="0018285D"/>
    <w:rsid w:val="00187D0C"/>
    <w:rsid w:val="001A108D"/>
    <w:rsid w:val="001A798B"/>
    <w:rsid w:val="001B6911"/>
    <w:rsid w:val="001B71BE"/>
    <w:rsid w:val="001C3FE0"/>
    <w:rsid w:val="001C53DB"/>
    <w:rsid w:val="001D2376"/>
    <w:rsid w:val="001D386D"/>
    <w:rsid w:val="001D50E0"/>
    <w:rsid w:val="001D6B37"/>
    <w:rsid w:val="001E482F"/>
    <w:rsid w:val="001E7A05"/>
    <w:rsid w:val="001F5B97"/>
    <w:rsid w:val="001F66D2"/>
    <w:rsid w:val="001F76D5"/>
    <w:rsid w:val="002005A3"/>
    <w:rsid w:val="0021103A"/>
    <w:rsid w:val="0021514F"/>
    <w:rsid w:val="00216500"/>
    <w:rsid w:val="00217383"/>
    <w:rsid w:val="00217DEF"/>
    <w:rsid w:val="00232784"/>
    <w:rsid w:val="00236515"/>
    <w:rsid w:val="0024423B"/>
    <w:rsid w:val="00245CB3"/>
    <w:rsid w:val="002602E4"/>
    <w:rsid w:val="002670FE"/>
    <w:rsid w:val="00273760"/>
    <w:rsid w:val="0027527F"/>
    <w:rsid w:val="00277843"/>
    <w:rsid w:val="00280375"/>
    <w:rsid w:val="00286F65"/>
    <w:rsid w:val="0029086E"/>
    <w:rsid w:val="00295458"/>
    <w:rsid w:val="00296B69"/>
    <w:rsid w:val="00297BA4"/>
    <w:rsid w:val="002A22F0"/>
    <w:rsid w:val="002A4FF2"/>
    <w:rsid w:val="002A71E7"/>
    <w:rsid w:val="002B0CEF"/>
    <w:rsid w:val="002B2F32"/>
    <w:rsid w:val="002B3F06"/>
    <w:rsid w:val="002B53C6"/>
    <w:rsid w:val="002C67DB"/>
    <w:rsid w:val="002D2DA4"/>
    <w:rsid w:val="002D3E8B"/>
    <w:rsid w:val="002D5F72"/>
    <w:rsid w:val="002E04F8"/>
    <w:rsid w:val="002E7350"/>
    <w:rsid w:val="002E75A5"/>
    <w:rsid w:val="002F0B96"/>
    <w:rsid w:val="002F6FB4"/>
    <w:rsid w:val="00306F29"/>
    <w:rsid w:val="00321A0A"/>
    <w:rsid w:val="00335B31"/>
    <w:rsid w:val="0034216E"/>
    <w:rsid w:val="0034661B"/>
    <w:rsid w:val="00377C11"/>
    <w:rsid w:val="003850C8"/>
    <w:rsid w:val="00385B3C"/>
    <w:rsid w:val="00385D47"/>
    <w:rsid w:val="003929C4"/>
    <w:rsid w:val="0039774C"/>
    <w:rsid w:val="003A1D0E"/>
    <w:rsid w:val="003A26CE"/>
    <w:rsid w:val="003A2E68"/>
    <w:rsid w:val="003B30C0"/>
    <w:rsid w:val="003B46EE"/>
    <w:rsid w:val="003B49C2"/>
    <w:rsid w:val="003C532F"/>
    <w:rsid w:val="003C5E8B"/>
    <w:rsid w:val="003C7C66"/>
    <w:rsid w:val="003C7F5A"/>
    <w:rsid w:val="003D22FF"/>
    <w:rsid w:val="003D2599"/>
    <w:rsid w:val="003D6B42"/>
    <w:rsid w:val="003E1980"/>
    <w:rsid w:val="003E20D0"/>
    <w:rsid w:val="003E3D01"/>
    <w:rsid w:val="003E4D65"/>
    <w:rsid w:val="003F547B"/>
    <w:rsid w:val="003F6894"/>
    <w:rsid w:val="0041263E"/>
    <w:rsid w:val="004128E8"/>
    <w:rsid w:val="00412D94"/>
    <w:rsid w:val="004168FA"/>
    <w:rsid w:val="004219AC"/>
    <w:rsid w:val="00425CDF"/>
    <w:rsid w:val="00427D05"/>
    <w:rsid w:val="004329B4"/>
    <w:rsid w:val="004435B3"/>
    <w:rsid w:val="00444F50"/>
    <w:rsid w:val="004638DF"/>
    <w:rsid w:val="00464558"/>
    <w:rsid w:val="0047061E"/>
    <w:rsid w:val="00474B3E"/>
    <w:rsid w:val="0047514C"/>
    <w:rsid w:val="0047546D"/>
    <w:rsid w:val="00484420"/>
    <w:rsid w:val="00487568"/>
    <w:rsid w:val="00491E02"/>
    <w:rsid w:val="00496ADA"/>
    <w:rsid w:val="00497863"/>
    <w:rsid w:val="004A4807"/>
    <w:rsid w:val="004A7063"/>
    <w:rsid w:val="004B0AA7"/>
    <w:rsid w:val="004B1A1E"/>
    <w:rsid w:val="004C501A"/>
    <w:rsid w:val="004C6FD8"/>
    <w:rsid w:val="004C7438"/>
    <w:rsid w:val="004E1815"/>
    <w:rsid w:val="004E72BA"/>
    <w:rsid w:val="004F0477"/>
    <w:rsid w:val="004F6693"/>
    <w:rsid w:val="00500803"/>
    <w:rsid w:val="00503F1E"/>
    <w:rsid w:val="00506A60"/>
    <w:rsid w:val="00514546"/>
    <w:rsid w:val="00514A80"/>
    <w:rsid w:val="005326D7"/>
    <w:rsid w:val="0053298A"/>
    <w:rsid w:val="0053358B"/>
    <w:rsid w:val="005460E3"/>
    <w:rsid w:val="00546ECE"/>
    <w:rsid w:val="00566B97"/>
    <w:rsid w:val="00567F3C"/>
    <w:rsid w:val="00574C9A"/>
    <w:rsid w:val="00582C3A"/>
    <w:rsid w:val="00584687"/>
    <w:rsid w:val="005851B7"/>
    <w:rsid w:val="005852B4"/>
    <w:rsid w:val="00586708"/>
    <w:rsid w:val="00586F8D"/>
    <w:rsid w:val="005A191E"/>
    <w:rsid w:val="005A7F3F"/>
    <w:rsid w:val="005B2DBA"/>
    <w:rsid w:val="005B6D88"/>
    <w:rsid w:val="005C2DEA"/>
    <w:rsid w:val="005C702B"/>
    <w:rsid w:val="005E5C90"/>
    <w:rsid w:val="005E6992"/>
    <w:rsid w:val="005F23EA"/>
    <w:rsid w:val="005F3DCA"/>
    <w:rsid w:val="005F4446"/>
    <w:rsid w:val="005F4E20"/>
    <w:rsid w:val="00600E0C"/>
    <w:rsid w:val="00600F7D"/>
    <w:rsid w:val="006023F4"/>
    <w:rsid w:val="00616908"/>
    <w:rsid w:val="00620C85"/>
    <w:rsid w:val="00622553"/>
    <w:rsid w:val="0062515B"/>
    <w:rsid w:val="00641595"/>
    <w:rsid w:val="00643B26"/>
    <w:rsid w:val="006461E9"/>
    <w:rsid w:val="00660ECA"/>
    <w:rsid w:val="00662D36"/>
    <w:rsid w:val="006658CF"/>
    <w:rsid w:val="0067638B"/>
    <w:rsid w:val="00680CED"/>
    <w:rsid w:val="0068283D"/>
    <w:rsid w:val="00691FD7"/>
    <w:rsid w:val="006942F4"/>
    <w:rsid w:val="006A2E4B"/>
    <w:rsid w:val="006A4CF2"/>
    <w:rsid w:val="006A713A"/>
    <w:rsid w:val="006B1076"/>
    <w:rsid w:val="006C130C"/>
    <w:rsid w:val="006C68C9"/>
    <w:rsid w:val="006C6E81"/>
    <w:rsid w:val="006D32E0"/>
    <w:rsid w:val="006D334F"/>
    <w:rsid w:val="006E40EC"/>
    <w:rsid w:val="006E4D14"/>
    <w:rsid w:val="006E6A9E"/>
    <w:rsid w:val="006F700C"/>
    <w:rsid w:val="00705CCE"/>
    <w:rsid w:val="00712E83"/>
    <w:rsid w:val="00720343"/>
    <w:rsid w:val="00727655"/>
    <w:rsid w:val="007302F5"/>
    <w:rsid w:val="00730302"/>
    <w:rsid w:val="0073129B"/>
    <w:rsid w:val="00732785"/>
    <w:rsid w:val="0074160B"/>
    <w:rsid w:val="00741B45"/>
    <w:rsid w:val="007428BC"/>
    <w:rsid w:val="00744D88"/>
    <w:rsid w:val="00746D6F"/>
    <w:rsid w:val="0074704F"/>
    <w:rsid w:val="00750EA4"/>
    <w:rsid w:val="007514DE"/>
    <w:rsid w:val="007517C7"/>
    <w:rsid w:val="007535E2"/>
    <w:rsid w:val="007545D0"/>
    <w:rsid w:val="00755DA5"/>
    <w:rsid w:val="00770317"/>
    <w:rsid w:val="00777249"/>
    <w:rsid w:val="00784F84"/>
    <w:rsid w:val="007933E5"/>
    <w:rsid w:val="0079426B"/>
    <w:rsid w:val="00795C26"/>
    <w:rsid w:val="007A0A12"/>
    <w:rsid w:val="007A35EE"/>
    <w:rsid w:val="007A3D90"/>
    <w:rsid w:val="007B00EE"/>
    <w:rsid w:val="007C2A66"/>
    <w:rsid w:val="007D022F"/>
    <w:rsid w:val="007D1159"/>
    <w:rsid w:val="007D1E85"/>
    <w:rsid w:val="007D2DAA"/>
    <w:rsid w:val="007D7E91"/>
    <w:rsid w:val="007E5108"/>
    <w:rsid w:val="007F0555"/>
    <w:rsid w:val="007F0F99"/>
    <w:rsid w:val="007F3D8C"/>
    <w:rsid w:val="00803271"/>
    <w:rsid w:val="008055D0"/>
    <w:rsid w:val="00806B75"/>
    <w:rsid w:val="00806ED1"/>
    <w:rsid w:val="00816BD0"/>
    <w:rsid w:val="00845EDD"/>
    <w:rsid w:val="00847B7E"/>
    <w:rsid w:val="00851C03"/>
    <w:rsid w:val="0085623D"/>
    <w:rsid w:val="00860398"/>
    <w:rsid w:val="00876075"/>
    <w:rsid w:val="00882878"/>
    <w:rsid w:val="00883F23"/>
    <w:rsid w:val="0088744B"/>
    <w:rsid w:val="008927C5"/>
    <w:rsid w:val="008930D7"/>
    <w:rsid w:val="00897649"/>
    <w:rsid w:val="008B5970"/>
    <w:rsid w:val="008D1A20"/>
    <w:rsid w:val="008D5BD3"/>
    <w:rsid w:val="008D7A11"/>
    <w:rsid w:val="008F2CEC"/>
    <w:rsid w:val="008F35FB"/>
    <w:rsid w:val="008F4462"/>
    <w:rsid w:val="008F5E16"/>
    <w:rsid w:val="0090136B"/>
    <w:rsid w:val="0090748E"/>
    <w:rsid w:val="00907D0E"/>
    <w:rsid w:val="00907FD2"/>
    <w:rsid w:val="00913A8A"/>
    <w:rsid w:val="009238CE"/>
    <w:rsid w:val="00930E07"/>
    <w:rsid w:val="009441EA"/>
    <w:rsid w:val="0096018A"/>
    <w:rsid w:val="009607BC"/>
    <w:rsid w:val="009636BE"/>
    <w:rsid w:val="00966C7C"/>
    <w:rsid w:val="00966DCA"/>
    <w:rsid w:val="00984B6E"/>
    <w:rsid w:val="009872C8"/>
    <w:rsid w:val="009964C2"/>
    <w:rsid w:val="009A3CFC"/>
    <w:rsid w:val="009A6234"/>
    <w:rsid w:val="009D0F67"/>
    <w:rsid w:val="009D2A31"/>
    <w:rsid w:val="009D4BAD"/>
    <w:rsid w:val="009D578C"/>
    <w:rsid w:val="009D7241"/>
    <w:rsid w:val="009E12A9"/>
    <w:rsid w:val="009E1EE0"/>
    <w:rsid w:val="009F29F0"/>
    <w:rsid w:val="009F38F7"/>
    <w:rsid w:val="009F5796"/>
    <w:rsid w:val="00A00F23"/>
    <w:rsid w:val="00A17A08"/>
    <w:rsid w:val="00A302D1"/>
    <w:rsid w:val="00A37A96"/>
    <w:rsid w:val="00A40D69"/>
    <w:rsid w:val="00A4186B"/>
    <w:rsid w:val="00A50119"/>
    <w:rsid w:val="00A50CC0"/>
    <w:rsid w:val="00A54816"/>
    <w:rsid w:val="00A55754"/>
    <w:rsid w:val="00A55AF5"/>
    <w:rsid w:val="00A667D9"/>
    <w:rsid w:val="00A73C31"/>
    <w:rsid w:val="00A8140B"/>
    <w:rsid w:val="00AB573D"/>
    <w:rsid w:val="00AC1456"/>
    <w:rsid w:val="00AC321A"/>
    <w:rsid w:val="00AC5D4F"/>
    <w:rsid w:val="00AD0D65"/>
    <w:rsid w:val="00AD1A17"/>
    <w:rsid w:val="00AD59BF"/>
    <w:rsid w:val="00AE15F1"/>
    <w:rsid w:val="00AF4854"/>
    <w:rsid w:val="00AF518E"/>
    <w:rsid w:val="00AF778B"/>
    <w:rsid w:val="00B04FD9"/>
    <w:rsid w:val="00B070A2"/>
    <w:rsid w:val="00B11BF7"/>
    <w:rsid w:val="00B21236"/>
    <w:rsid w:val="00B41D66"/>
    <w:rsid w:val="00B55795"/>
    <w:rsid w:val="00B64B1C"/>
    <w:rsid w:val="00B67B18"/>
    <w:rsid w:val="00B707EB"/>
    <w:rsid w:val="00B72FE7"/>
    <w:rsid w:val="00B775AA"/>
    <w:rsid w:val="00B8297A"/>
    <w:rsid w:val="00B8755D"/>
    <w:rsid w:val="00B90DD5"/>
    <w:rsid w:val="00B931A3"/>
    <w:rsid w:val="00B950B4"/>
    <w:rsid w:val="00B956C9"/>
    <w:rsid w:val="00B95AE2"/>
    <w:rsid w:val="00B967E1"/>
    <w:rsid w:val="00BA33C4"/>
    <w:rsid w:val="00BB012B"/>
    <w:rsid w:val="00BB4F78"/>
    <w:rsid w:val="00BB6D2C"/>
    <w:rsid w:val="00BC004C"/>
    <w:rsid w:val="00BC0275"/>
    <w:rsid w:val="00BC7CD9"/>
    <w:rsid w:val="00BD08F3"/>
    <w:rsid w:val="00BD58D5"/>
    <w:rsid w:val="00BE0462"/>
    <w:rsid w:val="00BE3CDC"/>
    <w:rsid w:val="00BE4C41"/>
    <w:rsid w:val="00BE6A28"/>
    <w:rsid w:val="00C043CD"/>
    <w:rsid w:val="00C07D77"/>
    <w:rsid w:val="00C12879"/>
    <w:rsid w:val="00C12F33"/>
    <w:rsid w:val="00C13890"/>
    <w:rsid w:val="00C211EF"/>
    <w:rsid w:val="00C223F7"/>
    <w:rsid w:val="00C33541"/>
    <w:rsid w:val="00C461AE"/>
    <w:rsid w:val="00C532DF"/>
    <w:rsid w:val="00C67D91"/>
    <w:rsid w:val="00C762D5"/>
    <w:rsid w:val="00C84DE9"/>
    <w:rsid w:val="00C91F4A"/>
    <w:rsid w:val="00C972E4"/>
    <w:rsid w:val="00CA2112"/>
    <w:rsid w:val="00CD3605"/>
    <w:rsid w:val="00CD5543"/>
    <w:rsid w:val="00CE3089"/>
    <w:rsid w:val="00CF0623"/>
    <w:rsid w:val="00CF6C51"/>
    <w:rsid w:val="00D00439"/>
    <w:rsid w:val="00D05919"/>
    <w:rsid w:val="00D06223"/>
    <w:rsid w:val="00D20330"/>
    <w:rsid w:val="00D35CD7"/>
    <w:rsid w:val="00D41BAA"/>
    <w:rsid w:val="00D5538A"/>
    <w:rsid w:val="00D75538"/>
    <w:rsid w:val="00D863CA"/>
    <w:rsid w:val="00D92C1F"/>
    <w:rsid w:val="00DB6F4E"/>
    <w:rsid w:val="00DC73E5"/>
    <w:rsid w:val="00DE7E33"/>
    <w:rsid w:val="00E0260E"/>
    <w:rsid w:val="00E07138"/>
    <w:rsid w:val="00E178D1"/>
    <w:rsid w:val="00E254D7"/>
    <w:rsid w:val="00E269DE"/>
    <w:rsid w:val="00E35E98"/>
    <w:rsid w:val="00E52E13"/>
    <w:rsid w:val="00E561CE"/>
    <w:rsid w:val="00E61140"/>
    <w:rsid w:val="00E86E6C"/>
    <w:rsid w:val="00E90FF9"/>
    <w:rsid w:val="00E934C9"/>
    <w:rsid w:val="00EA1950"/>
    <w:rsid w:val="00EA2558"/>
    <w:rsid w:val="00EB3F93"/>
    <w:rsid w:val="00EE0717"/>
    <w:rsid w:val="00EE29D4"/>
    <w:rsid w:val="00EE5F1D"/>
    <w:rsid w:val="00EF6191"/>
    <w:rsid w:val="00F021F4"/>
    <w:rsid w:val="00F06080"/>
    <w:rsid w:val="00F06270"/>
    <w:rsid w:val="00F1066A"/>
    <w:rsid w:val="00F131C4"/>
    <w:rsid w:val="00F1756D"/>
    <w:rsid w:val="00F177EA"/>
    <w:rsid w:val="00F21A83"/>
    <w:rsid w:val="00F2528E"/>
    <w:rsid w:val="00F37C20"/>
    <w:rsid w:val="00F46CB9"/>
    <w:rsid w:val="00F471AC"/>
    <w:rsid w:val="00F51B3A"/>
    <w:rsid w:val="00F55753"/>
    <w:rsid w:val="00F63DBC"/>
    <w:rsid w:val="00F66471"/>
    <w:rsid w:val="00F664CA"/>
    <w:rsid w:val="00F71E58"/>
    <w:rsid w:val="00F73A14"/>
    <w:rsid w:val="00F77F73"/>
    <w:rsid w:val="00F86628"/>
    <w:rsid w:val="00F912C6"/>
    <w:rsid w:val="00F9260C"/>
    <w:rsid w:val="00F95682"/>
    <w:rsid w:val="00FA3161"/>
    <w:rsid w:val="00FB2580"/>
    <w:rsid w:val="00FD1D19"/>
    <w:rsid w:val="00FD333D"/>
    <w:rsid w:val="00FD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4D156"/>
  <w15:chartTrackingRefBased/>
  <w15:docId w15:val="{ED41EC70-94E7-42D4-8AAE-F162943F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3A"/>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1B6911"/>
    <w:pPr>
      <w:keepNext/>
      <w:jc w:val="both"/>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E8B"/>
    <w:pPr>
      <w:tabs>
        <w:tab w:val="center" w:pos="4536"/>
        <w:tab w:val="right" w:pos="9072"/>
      </w:tabs>
    </w:pPr>
  </w:style>
  <w:style w:type="character" w:customStyle="1" w:styleId="HeaderChar">
    <w:name w:val="Header Char"/>
    <w:link w:val="Header"/>
    <w:uiPriority w:val="99"/>
    <w:rsid w:val="003C5E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5E8B"/>
    <w:pPr>
      <w:tabs>
        <w:tab w:val="center" w:pos="4536"/>
        <w:tab w:val="right" w:pos="9072"/>
      </w:tabs>
    </w:pPr>
  </w:style>
  <w:style w:type="character" w:customStyle="1" w:styleId="FooterChar">
    <w:name w:val="Footer Char"/>
    <w:link w:val="Footer"/>
    <w:uiPriority w:val="99"/>
    <w:rsid w:val="003C5E8B"/>
    <w:rPr>
      <w:rFonts w:ascii="Times New Roman" w:eastAsia="Times New Roman" w:hAnsi="Times New Roman" w:cs="Times New Roman"/>
      <w:sz w:val="24"/>
      <w:szCs w:val="24"/>
      <w:lang w:val="en-US"/>
    </w:rPr>
  </w:style>
  <w:style w:type="character" w:styleId="Hyperlink">
    <w:name w:val="Hyperlink"/>
    <w:rsid w:val="001D50E0"/>
    <w:rPr>
      <w:color w:val="0000FF"/>
      <w:u w:val="single"/>
    </w:rPr>
  </w:style>
  <w:style w:type="paragraph" w:styleId="ListParagraph">
    <w:name w:val="List Paragraph"/>
    <w:basedOn w:val="Normal"/>
    <w:uiPriority w:val="34"/>
    <w:qFormat/>
    <w:rsid w:val="001D50E0"/>
    <w:pPr>
      <w:ind w:left="720"/>
      <w:contextualSpacing/>
    </w:pPr>
  </w:style>
  <w:style w:type="character" w:styleId="FollowedHyperlink">
    <w:name w:val="FollowedHyperlink"/>
    <w:uiPriority w:val="99"/>
    <w:semiHidden/>
    <w:unhideWhenUsed/>
    <w:rsid w:val="001D50E0"/>
    <w:rPr>
      <w:color w:val="954F72"/>
      <w:u w:val="single"/>
    </w:rPr>
  </w:style>
  <w:style w:type="character" w:customStyle="1" w:styleId="UnresolvedMention1">
    <w:name w:val="Unresolved Mention1"/>
    <w:uiPriority w:val="99"/>
    <w:semiHidden/>
    <w:unhideWhenUsed/>
    <w:rsid w:val="001D50E0"/>
    <w:rPr>
      <w:color w:val="605E5C"/>
      <w:shd w:val="clear" w:color="auto" w:fill="E1DFDD"/>
    </w:rPr>
  </w:style>
  <w:style w:type="paragraph" w:styleId="EndnoteText">
    <w:name w:val="endnote text"/>
    <w:basedOn w:val="Normal"/>
    <w:link w:val="EndnoteTextChar"/>
    <w:uiPriority w:val="99"/>
    <w:unhideWhenUsed/>
    <w:rsid w:val="00E52E13"/>
    <w:rPr>
      <w:sz w:val="20"/>
      <w:szCs w:val="20"/>
    </w:rPr>
  </w:style>
  <w:style w:type="character" w:customStyle="1" w:styleId="EndnoteTextChar">
    <w:name w:val="Endnote Text Char"/>
    <w:link w:val="EndnoteText"/>
    <w:uiPriority w:val="99"/>
    <w:rsid w:val="00E52E13"/>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E52E13"/>
    <w:rPr>
      <w:vertAlign w:val="superscript"/>
    </w:rPr>
  </w:style>
  <w:style w:type="paragraph" w:styleId="FootnoteText">
    <w:name w:val="footnote text"/>
    <w:basedOn w:val="Normal"/>
    <w:link w:val="FootnoteTextChar"/>
    <w:uiPriority w:val="99"/>
    <w:semiHidden/>
    <w:unhideWhenUsed/>
    <w:rsid w:val="00141E94"/>
    <w:rPr>
      <w:sz w:val="20"/>
      <w:szCs w:val="20"/>
    </w:rPr>
  </w:style>
  <w:style w:type="character" w:customStyle="1" w:styleId="FootnoteTextChar">
    <w:name w:val="Footnote Text Char"/>
    <w:link w:val="FootnoteText"/>
    <w:uiPriority w:val="99"/>
    <w:semiHidden/>
    <w:rsid w:val="00141E94"/>
    <w:rPr>
      <w:rFonts w:ascii="Times New Roman" w:eastAsia="Times New Roman" w:hAnsi="Times New Roman" w:cs="Times New Roman"/>
      <w:sz w:val="20"/>
      <w:szCs w:val="20"/>
      <w:lang w:val="en-US"/>
    </w:rPr>
  </w:style>
  <w:style w:type="character" w:styleId="FootnoteReference">
    <w:name w:val="footnote reference"/>
    <w:uiPriority w:val="99"/>
    <w:semiHidden/>
    <w:unhideWhenUsed/>
    <w:rsid w:val="00141E94"/>
    <w:rPr>
      <w:vertAlign w:val="superscript"/>
    </w:rPr>
  </w:style>
  <w:style w:type="table" w:styleId="TableGrid">
    <w:name w:val="Table Grid"/>
    <w:basedOn w:val="TableNormal"/>
    <w:uiPriority w:val="39"/>
    <w:rsid w:val="00B4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1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177EA"/>
    <w:rPr>
      <w:rFonts w:ascii="Courier New" w:eastAsia="Times New Roman" w:hAnsi="Courier New" w:cs="Courier New"/>
      <w:sz w:val="20"/>
      <w:szCs w:val="20"/>
      <w:lang w:val="en-US"/>
    </w:rPr>
  </w:style>
  <w:style w:type="character" w:customStyle="1" w:styleId="UnresolvedMention2">
    <w:name w:val="Unresolved Mention2"/>
    <w:uiPriority w:val="99"/>
    <w:semiHidden/>
    <w:unhideWhenUsed/>
    <w:rsid w:val="00217383"/>
    <w:rPr>
      <w:color w:val="605E5C"/>
      <w:shd w:val="clear" w:color="auto" w:fill="E1DFDD"/>
    </w:rPr>
  </w:style>
  <w:style w:type="paragraph" w:customStyle="1" w:styleId="Default">
    <w:name w:val="Default"/>
    <w:rsid w:val="004E72BA"/>
    <w:pPr>
      <w:autoSpaceDE w:val="0"/>
      <w:autoSpaceDN w:val="0"/>
      <w:adjustRightInd w:val="0"/>
    </w:pPr>
    <w:rPr>
      <w:rFonts w:ascii="Times New Roman" w:hAnsi="Times New Roman"/>
      <w:color w:val="000000"/>
      <w:sz w:val="24"/>
      <w:szCs w:val="24"/>
      <w:lang w:val="en-US" w:eastAsia="en-US"/>
    </w:rPr>
  </w:style>
  <w:style w:type="character" w:styleId="Strong">
    <w:name w:val="Strong"/>
    <w:uiPriority w:val="22"/>
    <w:qFormat/>
    <w:rsid w:val="008D5BD3"/>
    <w:rPr>
      <w:b/>
      <w:bCs/>
    </w:rPr>
  </w:style>
  <w:style w:type="character" w:customStyle="1" w:styleId="Heading1Char">
    <w:name w:val="Heading 1 Char"/>
    <w:link w:val="Heading1"/>
    <w:rsid w:val="001B6911"/>
    <w:rPr>
      <w:rFonts w:ascii="Times New Roman" w:eastAsia="Times New Roman" w:hAnsi="Times New Roman"/>
      <w:sz w:val="24"/>
      <w:lang w:val="en-US" w:eastAsia="en-US"/>
    </w:rPr>
  </w:style>
  <w:style w:type="paragraph" w:styleId="BodyText2">
    <w:name w:val="Body Text 2"/>
    <w:basedOn w:val="Normal"/>
    <w:link w:val="BodyText2Char"/>
    <w:rsid w:val="001B6911"/>
    <w:rPr>
      <w:noProof/>
      <w:szCs w:val="20"/>
    </w:rPr>
  </w:style>
  <w:style w:type="character" w:customStyle="1" w:styleId="BodyText2Char">
    <w:name w:val="Body Text 2 Char"/>
    <w:link w:val="BodyText2"/>
    <w:rsid w:val="001B6911"/>
    <w:rPr>
      <w:rFonts w:ascii="Times New Roman" w:eastAsia="Times New Roman" w:hAnsi="Times New Roman"/>
      <w:noProof/>
      <w:sz w:val="24"/>
      <w:lang w:val="en-US" w:eastAsia="en-US"/>
    </w:rPr>
  </w:style>
  <w:style w:type="character" w:styleId="CommentReference">
    <w:name w:val="annotation reference"/>
    <w:uiPriority w:val="99"/>
    <w:unhideWhenUsed/>
    <w:rsid w:val="00712E83"/>
    <w:rPr>
      <w:sz w:val="16"/>
      <w:szCs w:val="16"/>
    </w:rPr>
  </w:style>
  <w:style w:type="paragraph" w:styleId="CommentText">
    <w:name w:val="annotation text"/>
    <w:basedOn w:val="Normal"/>
    <w:link w:val="CommentTextChar"/>
    <w:uiPriority w:val="99"/>
    <w:unhideWhenUsed/>
    <w:rsid w:val="00712E83"/>
    <w:rPr>
      <w:sz w:val="20"/>
      <w:szCs w:val="20"/>
    </w:rPr>
  </w:style>
  <w:style w:type="character" w:customStyle="1" w:styleId="CommentTextChar">
    <w:name w:val="Comment Text Char"/>
    <w:link w:val="CommentText"/>
    <w:uiPriority w:val="99"/>
    <w:rsid w:val="00712E83"/>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712E83"/>
    <w:rPr>
      <w:rFonts w:ascii="Segoe UI" w:hAnsi="Segoe UI" w:cs="Segoe UI"/>
      <w:sz w:val="18"/>
      <w:szCs w:val="18"/>
    </w:rPr>
  </w:style>
  <w:style w:type="character" w:customStyle="1" w:styleId="BalloonTextChar">
    <w:name w:val="Balloon Text Char"/>
    <w:link w:val="BalloonText"/>
    <w:uiPriority w:val="99"/>
    <w:semiHidden/>
    <w:rsid w:val="00712E83"/>
    <w:rPr>
      <w:rFonts w:ascii="Segoe UI" w:eastAsia="Times New Roman"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0B4CE1"/>
    <w:rPr>
      <w:b/>
      <w:bCs/>
    </w:rPr>
  </w:style>
  <w:style w:type="character" w:customStyle="1" w:styleId="CommentSubjectChar">
    <w:name w:val="Comment Subject Char"/>
    <w:basedOn w:val="CommentTextChar"/>
    <w:link w:val="CommentSubject"/>
    <w:uiPriority w:val="99"/>
    <w:semiHidden/>
    <w:rsid w:val="000B4CE1"/>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5333">
      <w:bodyDiv w:val="1"/>
      <w:marLeft w:val="0"/>
      <w:marRight w:val="0"/>
      <w:marTop w:val="0"/>
      <w:marBottom w:val="0"/>
      <w:divBdr>
        <w:top w:val="none" w:sz="0" w:space="0" w:color="auto"/>
        <w:left w:val="none" w:sz="0" w:space="0" w:color="auto"/>
        <w:bottom w:val="none" w:sz="0" w:space="0" w:color="auto"/>
        <w:right w:val="none" w:sz="0" w:space="0" w:color="auto"/>
      </w:divBdr>
    </w:div>
    <w:div w:id="309746557">
      <w:bodyDiv w:val="1"/>
      <w:marLeft w:val="0"/>
      <w:marRight w:val="0"/>
      <w:marTop w:val="0"/>
      <w:marBottom w:val="0"/>
      <w:divBdr>
        <w:top w:val="none" w:sz="0" w:space="0" w:color="auto"/>
        <w:left w:val="none" w:sz="0" w:space="0" w:color="auto"/>
        <w:bottom w:val="none" w:sz="0" w:space="0" w:color="auto"/>
        <w:right w:val="none" w:sz="0" w:space="0" w:color="auto"/>
      </w:divBdr>
    </w:div>
    <w:div w:id="659692589">
      <w:bodyDiv w:val="1"/>
      <w:marLeft w:val="0"/>
      <w:marRight w:val="0"/>
      <w:marTop w:val="0"/>
      <w:marBottom w:val="0"/>
      <w:divBdr>
        <w:top w:val="none" w:sz="0" w:space="0" w:color="auto"/>
        <w:left w:val="none" w:sz="0" w:space="0" w:color="auto"/>
        <w:bottom w:val="none" w:sz="0" w:space="0" w:color="auto"/>
        <w:right w:val="none" w:sz="0" w:space="0" w:color="auto"/>
      </w:divBdr>
    </w:div>
    <w:div w:id="10118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ic.ro/international/programul-erasmus-tari-partenere/acorduri-inter-institutionale-erasmus-cu-tarile-terte/" TargetMode="External"/><Relationship Id="rId13" Type="http://schemas.openxmlformats.org/officeDocument/2006/relationships/hyperlink" Target="https://www.instagram.com/erasmus_see_uai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groups/173152296132716/" TargetMode="External"/><Relationship Id="rId17" Type="http://schemas.openxmlformats.org/officeDocument/2006/relationships/hyperlink" Target="mailto:otilia.matei@uaic.ro" TargetMode="External"/><Relationship Id="rId2" Type="http://schemas.openxmlformats.org/officeDocument/2006/relationships/numbering" Target="numbering.xml"/><Relationship Id="rId16" Type="http://schemas.openxmlformats.org/officeDocument/2006/relationships/hyperlink" Target="https://www.espauk.com/intern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rasmusUAIC" TargetMode="External"/><Relationship Id="rId5" Type="http://schemas.openxmlformats.org/officeDocument/2006/relationships/webSettings" Target="webSettings.xml"/><Relationship Id="rId15" Type="http://schemas.openxmlformats.org/officeDocument/2006/relationships/hyperlink" Target="https://legalisglobal.com/job-search/" TargetMode="External"/><Relationship Id="rId10" Type="http://schemas.openxmlformats.org/officeDocument/2006/relationships/hyperlink" Target="https://www.uaic.ro/international/programul-erasmus-tari-partenere/mobilitati-studentesti-de-practica/" TargetMode="External"/><Relationship Id="rId19"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uaic.ro/wp-content/uploads/2022/10/Centralizator-coordonatori-Erasmus-SMS-SMP-STA_actualizat-1.pdf" TargetMode="External"/><Relationship Id="rId14" Type="http://schemas.openxmlformats.org/officeDocument/2006/relationships/hyperlink" Target="https://erasmusinter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ean-union/abouteu/institutions-bodies_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3FCE1-B6C4-4E1A-AF8E-41F6493E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7</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Links>
    <vt:vector size="108" baseType="variant">
      <vt:variant>
        <vt:i4>2687034</vt:i4>
      </vt:variant>
      <vt:variant>
        <vt:i4>48</vt:i4>
      </vt:variant>
      <vt:variant>
        <vt:i4>0</vt:i4>
      </vt:variant>
      <vt:variant>
        <vt:i4>5</vt:i4>
      </vt:variant>
      <vt:variant>
        <vt:lpwstr>https://www.instagram.com/erasmus_see_uaic/</vt:lpwstr>
      </vt:variant>
      <vt:variant>
        <vt:lpwstr/>
      </vt:variant>
      <vt:variant>
        <vt:i4>65619</vt:i4>
      </vt:variant>
      <vt:variant>
        <vt:i4>45</vt:i4>
      </vt:variant>
      <vt:variant>
        <vt:i4>0</vt:i4>
      </vt:variant>
      <vt:variant>
        <vt:i4>5</vt:i4>
      </vt:variant>
      <vt:variant>
        <vt:lpwstr>https://www.facebook.com/groups/173152296132716/</vt:lpwstr>
      </vt:variant>
      <vt:variant>
        <vt:lpwstr/>
      </vt:variant>
      <vt:variant>
        <vt:i4>6160462</vt:i4>
      </vt:variant>
      <vt:variant>
        <vt:i4>42</vt:i4>
      </vt:variant>
      <vt:variant>
        <vt:i4>0</vt:i4>
      </vt:variant>
      <vt:variant>
        <vt:i4>5</vt:i4>
      </vt:variant>
      <vt:variant>
        <vt:lpwstr>https://www.facebook.com/ErasmusUAIC</vt:lpwstr>
      </vt:variant>
      <vt:variant>
        <vt:lpwstr/>
      </vt:variant>
      <vt:variant>
        <vt:i4>2687008</vt:i4>
      </vt:variant>
      <vt:variant>
        <vt:i4>39</vt:i4>
      </vt:variant>
      <vt:variant>
        <vt:i4>0</vt:i4>
      </vt:variant>
      <vt:variant>
        <vt:i4>5</vt:i4>
      </vt:variant>
      <vt:variant>
        <vt:lpwstr>http://www.uaic.ro/international/programul-erasmus/studenti/mobilitati-de-practica-erasmus/oferte-stagii-practica-erasmus/</vt:lpwstr>
      </vt:variant>
      <vt:variant>
        <vt:lpwstr/>
      </vt:variant>
      <vt:variant>
        <vt:i4>8192057</vt:i4>
      </vt:variant>
      <vt:variant>
        <vt:i4>36</vt:i4>
      </vt:variant>
      <vt:variant>
        <vt:i4>0</vt:i4>
      </vt:variant>
      <vt:variant>
        <vt:i4>5</vt:i4>
      </vt:variant>
      <vt:variant>
        <vt:lpwstr>https://www.uaic.ro/international/programul-erasmus-tari-partenere/mobilitati-studentesti-de-practica/</vt:lpwstr>
      </vt:variant>
      <vt:variant>
        <vt:lpwstr/>
      </vt:variant>
      <vt:variant>
        <vt:i4>6422651</vt:i4>
      </vt:variant>
      <vt:variant>
        <vt:i4>33</vt:i4>
      </vt:variant>
      <vt:variant>
        <vt:i4>0</vt:i4>
      </vt:variant>
      <vt:variant>
        <vt:i4>5</vt:i4>
      </vt:variant>
      <vt:variant>
        <vt:lpwstr>https://www.uaic.ro/international/programul-erasmus-tari-partenere/studenti-studiu/</vt:lpwstr>
      </vt:variant>
      <vt:variant>
        <vt:lpwstr/>
      </vt:variant>
      <vt:variant>
        <vt:i4>1507441</vt:i4>
      </vt:variant>
      <vt:variant>
        <vt:i4>30</vt:i4>
      </vt:variant>
      <vt:variant>
        <vt:i4>0</vt:i4>
      </vt:variant>
      <vt:variant>
        <vt:i4>5</vt:i4>
      </vt:variant>
      <vt:variant>
        <vt:lpwstr>mailto:otilia.matei@uaic.ro</vt:lpwstr>
      </vt:variant>
      <vt:variant>
        <vt:lpwstr/>
      </vt:variant>
      <vt:variant>
        <vt:i4>4915287</vt:i4>
      </vt:variant>
      <vt:variant>
        <vt:i4>27</vt:i4>
      </vt:variant>
      <vt:variant>
        <vt:i4>0</vt:i4>
      </vt:variant>
      <vt:variant>
        <vt:i4>5</vt:i4>
      </vt:variant>
      <vt:variant>
        <vt:lpwstr>https://ec.europa.eu/immigration/</vt:lpwstr>
      </vt:variant>
      <vt:variant>
        <vt:lpwstr/>
      </vt:variant>
      <vt:variant>
        <vt:i4>917609</vt:i4>
      </vt:variant>
      <vt:variant>
        <vt:i4>24</vt:i4>
      </vt:variant>
      <vt:variant>
        <vt:i4>0</vt:i4>
      </vt:variant>
      <vt:variant>
        <vt:i4>5</vt:i4>
      </vt:variant>
      <vt:variant>
        <vt:lpwstr>https://www.uaic.ro/wp-content/uploads/2021/12/Centralizator-coordonatori-Erasmus-SMS-SMP-STA_actualizat-1.pdf</vt:lpwstr>
      </vt:variant>
      <vt:variant>
        <vt:lpwstr/>
      </vt:variant>
      <vt:variant>
        <vt:i4>7929911</vt:i4>
      </vt:variant>
      <vt:variant>
        <vt:i4>21</vt:i4>
      </vt:variant>
      <vt:variant>
        <vt:i4>0</vt:i4>
      </vt:variant>
      <vt:variant>
        <vt:i4>5</vt:i4>
      </vt:variant>
      <vt:variant>
        <vt:lpwstr>https://erasmusintern.org/</vt:lpwstr>
      </vt:variant>
      <vt:variant>
        <vt:lpwstr/>
      </vt:variant>
      <vt:variant>
        <vt:i4>2687034</vt:i4>
      </vt:variant>
      <vt:variant>
        <vt:i4>18</vt:i4>
      </vt:variant>
      <vt:variant>
        <vt:i4>0</vt:i4>
      </vt:variant>
      <vt:variant>
        <vt:i4>5</vt:i4>
      </vt:variant>
      <vt:variant>
        <vt:lpwstr>https://www.instagram.com/erasmus_see_uaic/</vt:lpwstr>
      </vt:variant>
      <vt:variant>
        <vt:lpwstr/>
      </vt:variant>
      <vt:variant>
        <vt:i4>65619</vt:i4>
      </vt:variant>
      <vt:variant>
        <vt:i4>15</vt:i4>
      </vt:variant>
      <vt:variant>
        <vt:i4>0</vt:i4>
      </vt:variant>
      <vt:variant>
        <vt:i4>5</vt:i4>
      </vt:variant>
      <vt:variant>
        <vt:lpwstr>https://www.facebook.com/groups/173152296132716/</vt:lpwstr>
      </vt:variant>
      <vt:variant>
        <vt:lpwstr/>
      </vt:variant>
      <vt:variant>
        <vt:i4>6160462</vt:i4>
      </vt:variant>
      <vt:variant>
        <vt:i4>12</vt:i4>
      </vt:variant>
      <vt:variant>
        <vt:i4>0</vt:i4>
      </vt:variant>
      <vt:variant>
        <vt:i4>5</vt:i4>
      </vt:variant>
      <vt:variant>
        <vt:lpwstr>https://www.facebook.com/ErasmusUAIC</vt:lpwstr>
      </vt:variant>
      <vt:variant>
        <vt:lpwstr/>
      </vt:variant>
      <vt:variant>
        <vt:i4>2687008</vt:i4>
      </vt:variant>
      <vt:variant>
        <vt:i4>9</vt:i4>
      </vt:variant>
      <vt:variant>
        <vt:i4>0</vt:i4>
      </vt:variant>
      <vt:variant>
        <vt:i4>5</vt:i4>
      </vt:variant>
      <vt:variant>
        <vt:lpwstr>http://www.uaic.ro/international/programul-erasmus/studenti/mobilitati-de-practica-erasmus/oferte-stagii-practica-erasmus/</vt:lpwstr>
      </vt:variant>
      <vt:variant>
        <vt:lpwstr/>
      </vt:variant>
      <vt:variant>
        <vt:i4>7667815</vt:i4>
      </vt:variant>
      <vt:variant>
        <vt:i4>6</vt:i4>
      </vt:variant>
      <vt:variant>
        <vt:i4>0</vt:i4>
      </vt:variant>
      <vt:variant>
        <vt:i4>5</vt:i4>
      </vt:variant>
      <vt:variant>
        <vt:lpwstr>https://www.uaic.ro/international/programul-erasmus/studenti/mobilitati-de-studiu-erasmus/</vt:lpwstr>
      </vt:variant>
      <vt:variant>
        <vt:lpwstr/>
      </vt:variant>
      <vt:variant>
        <vt:i4>3473523</vt:i4>
      </vt:variant>
      <vt:variant>
        <vt:i4>3</vt:i4>
      </vt:variant>
      <vt:variant>
        <vt:i4>0</vt:i4>
      </vt:variant>
      <vt:variant>
        <vt:i4>5</vt:i4>
      </vt:variant>
      <vt:variant>
        <vt:lpwstr>https://www.uaic.ro/international/serviciul-relatii-internationale/</vt:lpwstr>
      </vt:variant>
      <vt:variant>
        <vt:lpwstr/>
      </vt:variant>
      <vt:variant>
        <vt:i4>3801099</vt:i4>
      </vt:variant>
      <vt:variant>
        <vt:i4>0</vt:i4>
      </vt:variant>
      <vt:variant>
        <vt:i4>0</vt:i4>
      </vt:variant>
      <vt:variant>
        <vt:i4>5</vt:i4>
      </vt:variant>
      <vt:variant>
        <vt:lpwstr>mailto:erasmusplus@uaic.ro</vt:lpwstr>
      </vt:variant>
      <vt:variant>
        <vt:lpwstr/>
      </vt:variant>
      <vt:variant>
        <vt:i4>6750238</vt:i4>
      </vt:variant>
      <vt:variant>
        <vt:i4>0</vt:i4>
      </vt:variant>
      <vt:variant>
        <vt:i4>0</vt:i4>
      </vt:variant>
      <vt:variant>
        <vt:i4>5</vt:i4>
      </vt:variant>
      <vt:variant>
        <vt:lpwstr>https://europa.eu/european-union/abouteu/institutions-bodies_ro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petronela.spiridon</dc:creator>
  <cp:keywords/>
  <dc:description/>
  <cp:lastModifiedBy>Otilia</cp:lastModifiedBy>
  <cp:revision>154</cp:revision>
  <cp:lastPrinted>2023-05-02T10:36:00Z</cp:lastPrinted>
  <dcterms:created xsi:type="dcterms:W3CDTF">2023-04-04T12:44:00Z</dcterms:created>
  <dcterms:modified xsi:type="dcterms:W3CDTF">2023-05-09T15:00:00Z</dcterms:modified>
</cp:coreProperties>
</file>